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321B3" w14:textId="77777777" w:rsidR="00704181" w:rsidRDefault="00000000">
      <w:pPr>
        <w:spacing w:line="360" w:lineRule="auto"/>
        <w:jc w:val="center"/>
      </w:pPr>
      <w:r>
        <w:rPr>
          <w:noProof/>
        </w:rPr>
        <w:drawing>
          <wp:anchor distT="114300" distB="114300" distL="114300" distR="114300" simplePos="0" relativeHeight="251658240" behindDoc="0" locked="0" layoutInCell="1" hidden="0" allowOverlap="1" wp14:anchorId="5A1080B3" wp14:editId="4626496A">
            <wp:simplePos x="0" y="0"/>
            <wp:positionH relativeFrom="column">
              <wp:posOffset>1628775</wp:posOffset>
            </wp:positionH>
            <wp:positionV relativeFrom="paragraph">
              <wp:posOffset>257175</wp:posOffset>
            </wp:positionV>
            <wp:extent cx="2014538" cy="2572409"/>
            <wp:effectExtent l="0" t="0" r="0" b="0"/>
            <wp:wrapSquare wrapText="bothSides" distT="114300" distB="114300" distL="114300" distR="11430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b="8626"/>
                    <a:stretch>
                      <a:fillRect/>
                    </a:stretch>
                  </pic:blipFill>
                  <pic:spPr>
                    <a:xfrm>
                      <a:off x="0" y="0"/>
                      <a:ext cx="2014538" cy="2572409"/>
                    </a:xfrm>
                    <a:prstGeom prst="rect">
                      <a:avLst/>
                    </a:prstGeom>
                    <a:ln/>
                  </pic:spPr>
                </pic:pic>
              </a:graphicData>
            </a:graphic>
          </wp:anchor>
        </w:drawing>
      </w:r>
    </w:p>
    <w:p w14:paraId="00C089BA" w14:textId="77777777" w:rsidR="00704181" w:rsidRDefault="00704181">
      <w:pPr>
        <w:spacing w:line="360" w:lineRule="auto"/>
        <w:jc w:val="center"/>
      </w:pPr>
    </w:p>
    <w:p w14:paraId="757052CC" w14:textId="77777777" w:rsidR="00704181" w:rsidRDefault="00704181">
      <w:pPr>
        <w:spacing w:line="360" w:lineRule="auto"/>
        <w:jc w:val="center"/>
      </w:pPr>
    </w:p>
    <w:p w14:paraId="71255F15" w14:textId="77777777" w:rsidR="00704181" w:rsidRDefault="00704181">
      <w:pPr>
        <w:spacing w:line="360" w:lineRule="auto"/>
        <w:jc w:val="center"/>
      </w:pPr>
    </w:p>
    <w:p w14:paraId="41BDA17D" w14:textId="77777777" w:rsidR="00704181" w:rsidRDefault="00704181">
      <w:pPr>
        <w:spacing w:line="360" w:lineRule="auto"/>
        <w:jc w:val="center"/>
      </w:pPr>
    </w:p>
    <w:p w14:paraId="22E911CD" w14:textId="77777777" w:rsidR="00704181" w:rsidRDefault="00704181">
      <w:pPr>
        <w:spacing w:line="360" w:lineRule="auto"/>
        <w:jc w:val="center"/>
      </w:pPr>
    </w:p>
    <w:p w14:paraId="625CB3B2" w14:textId="77777777" w:rsidR="00704181" w:rsidRDefault="00704181">
      <w:pPr>
        <w:spacing w:line="360" w:lineRule="auto"/>
        <w:jc w:val="center"/>
      </w:pPr>
    </w:p>
    <w:p w14:paraId="1966A5C8" w14:textId="77777777" w:rsidR="00704181" w:rsidRDefault="00704181">
      <w:pPr>
        <w:spacing w:line="360" w:lineRule="auto"/>
        <w:jc w:val="center"/>
      </w:pPr>
    </w:p>
    <w:p w14:paraId="11F2B5A3" w14:textId="77777777" w:rsidR="00704181" w:rsidRDefault="00704181">
      <w:pPr>
        <w:spacing w:line="360" w:lineRule="auto"/>
        <w:jc w:val="center"/>
      </w:pPr>
    </w:p>
    <w:p w14:paraId="272EE8BC" w14:textId="77777777" w:rsidR="00704181" w:rsidRDefault="00704181">
      <w:pPr>
        <w:spacing w:line="360" w:lineRule="auto"/>
        <w:jc w:val="center"/>
      </w:pPr>
    </w:p>
    <w:p w14:paraId="4DA348D1" w14:textId="77777777" w:rsidR="00704181" w:rsidRDefault="00704181">
      <w:pPr>
        <w:spacing w:line="360" w:lineRule="auto"/>
        <w:jc w:val="center"/>
      </w:pPr>
    </w:p>
    <w:p w14:paraId="0C2D4F93" w14:textId="77777777" w:rsidR="00704181" w:rsidRDefault="00704181">
      <w:pPr>
        <w:spacing w:line="360" w:lineRule="auto"/>
        <w:jc w:val="center"/>
      </w:pPr>
    </w:p>
    <w:p w14:paraId="41525F1E" w14:textId="77777777" w:rsidR="00704181" w:rsidRDefault="00000000">
      <w:pPr>
        <w:spacing w:line="360" w:lineRule="auto"/>
        <w:jc w:val="center"/>
      </w:pPr>
      <w:r>
        <w:rPr>
          <w:noProof/>
        </w:rPr>
        <w:drawing>
          <wp:anchor distT="0" distB="0" distL="0" distR="0" simplePos="0" relativeHeight="251659264" behindDoc="0" locked="0" layoutInCell="1" hidden="0" allowOverlap="1" wp14:anchorId="45DB410C" wp14:editId="075B4586">
            <wp:simplePos x="0" y="0"/>
            <wp:positionH relativeFrom="column">
              <wp:posOffset>1200150</wp:posOffset>
            </wp:positionH>
            <wp:positionV relativeFrom="paragraph">
              <wp:posOffset>148549</wp:posOffset>
            </wp:positionV>
            <wp:extent cx="2871788" cy="1704599"/>
            <wp:effectExtent l="0" t="0" r="0" b="0"/>
            <wp:wrapSquare wrapText="bothSides" distT="0" distB="0" distL="0" distR="0"/>
            <wp:docPr id="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2871788" cy="1704599"/>
                    </a:xfrm>
                    <a:prstGeom prst="rect">
                      <a:avLst/>
                    </a:prstGeom>
                    <a:ln/>
                  </pic:spPr>
                </pic:pic>
              </a:graphicData>
            </a:graphic>
          </wp:anchor>
        </w:drawing>
      </w:r>
    </w:p>
    <w:p w14:paraId="1017DBE4" w14:textId="77777777" w:rsidR="00704181" w:rsidRDefault="00704181">
      <w:pPr>
        <w:spacing w:line="360" w:lineRule="auto"/>
        <w:jc w:val="center"/>
      </w:pPr>
    </w:p>
    <w:p w14:paraId="7E5B7312" w14:textId="77777777" w:rsidR="00704181" w:rsidRDefault="00704181">
      <w:pPr>
        <w:spacing w:line="360" w:lineRule="auto"/>
        <w:jc w:val="center"/>
      </w:pPr>
    </w:p>
    <w:p w14:paraId="155A710D" w14:textId="77777777" w:rsidR="00704181" w:rsidRDefault="00704181">
      <w:pPr>
        <w:spacing w:line="360" w:lineRule="auto"/>
        <w:jc w:val="center"/>
      </w:pPr>
    </w:p>
    <w:p w14:paraId="49AFCEC6" w14:textId="77777777" w:rsidR="00704181" w:rsidRDefault="00704181">
      <w:pPr>
        <w:spacing w:line="360" w:lineRule="auto"/>
        <w:jc w:val="center"/>
      </w:pPr>
    </w:p>
    <w:p w14:paraId="789C4D9B" w14:textId="77777777" w:rsidR="00704181" w:rsidRDefault="00704181">
      <w:pPr>
        <w:spacing w:line="360" w:lineRule="auto"/>
        <w:jc w:val="center"/>
      </w:pPr>
    </w:p>
    <w:p w14:paraId="1F5A1EAF" w14:textId="77777777" w:rsidR="00704181" w:rsidRDefault="00704181">
      <w:pPr>
        <w:spacing w:line="360" w:lineRule="auto"/>
        <w:jc w:val="center"/>
      </w:pPr>
    </w:p>
    <w:p w14:paraId="5F57DE4A" w14:textId="77777777" w:rsidR="00704181" w:rsidRDefault="00704181">
      <w:pPr>
        <w:spacing w:line="360" w:lineRule="auto"/>
        <w:jc w:val="center"/>
      </w:pPr>
    </w:p>
    <w:p w14:paraId="48F797FF" w14:textId="77777777" w:rsidR="00704181" w:rsidRDefault="00000000">
      <w:pPr>
        <w:widowControl w:val="0"/>
        <w:spacing w:line="240" w:lineRule="auto"/>
        <w:jc w:val="center"/>
        <w:rPr>
          <w:b/>
          <w:color w:val="4A86E8"/>
          <w:sz w:val="80"/>
          <w:szCs w:val="80"/>
        </w:rPr>
      </w:pPr>
      <w:r>
        <w:rPr>
          <w:b/>
          <w:color w:val="4A86E8"/>
          <w:sz w:val="80"/>
          <w:szCs w:val="80"/>
        </w:rPr>
        <w:t>Acid-base titration and evaluation of the end point and equivalence point</w:t>
      </w:r>
    </w:p>
    <w:p w14:paraId="5D8EE6AE" w14:textId="77777777" w:rsidR="00704181" w:rsidRDefault="00704181">
      <w:pPr>
        <w:spacing w:line="259" w:lineRule="auto"/>
        <w:rPr>
          <w:sz w:val="26"/>
          <w:szCs w:val="26"/>
        </w:rPr>
      </w:pPr>
    </w:p>
    <w:p w14:paraId="4E348145" w14:textId="77777777" w:rsidR="00704181" w:rsidRDefault="00704181">
      <w:pPr>
        <w:spacing w:line="259" w:lineRule="auto"/>
        <w:rPr>
          <w:sz w:val="26"/>
          <w:szCs w:val="26"/>
        </w:rPr>
      </w:pPr>
    </w:p>
    <w:p w14:paraId="4F5008A9" w14:textId="77777777" w:rsidR="00704181" w:rsidRDefault="00704181">
      <w:pPr>
        <w:spacing w:line="259" w:lineRule="auto"/>
        <w:rPr>
          <w:sz w:val="26"/>
          <w:szCs w:val="26"/>
        </w:rPr>
      </w:pPr>
    </w:p>
    <w:p w14:paraId="4C691801" w14:textId="77777777" w:rsidR="00704181" w:rsidRDefault="00704181">
      <w:pPr>
        <w:spacing w:line="259" w:lineRule="auto"/>
        <w:rPr>
          <w:sz w:val="26"/>
          <w:szCs w:val="26"/>
        </w:rPr>
      </w:pPr>
    </w:p>
    <w:p w14:paraId="76CACBAE" w14:textId="77777777" w:rsidR="00704181" w:rsidRDefault="00000000">
      <w:pPr>
        <w:spacing w:line="259" w:lineRule="auto"/>
        <w:rPr>
          <w:sz w:val="26"/>
          <w:szCs w:val="26"/>
        </w:rPr>
      </w:pPr>
      <w:r>
        <w:rPr>
          <w:sz w:val="26"/>
          <w:szCs w:val="26"/>
        </w:rPr>
        <w:t xml:space="preserve">Original author: </w:t>
      </w:r>
      <w:r>
        <w:rPr>
          <w:b/>
          <w:sz w:val="26"/>
          <w:szCs w:val="26"/>
        </w:rPr>
        <w:t xml:space="preserve">Eric Montero Miranda </w:t>
      </w:r>
      <w:r>
        <w:rPr>
          <w:sz w:val="26"/>
          <w:szCs w:val="26"/>
        </w:rPr>
        <w:t>(UNED)</w:t>
      </w:r>
    </w:p>
    <w:p w14:paraId="5CF4D2F0" w14:textId="77777777" w:rsidR="00704181" w:rsidRDefault="00000000">
      <w:pPr>
        <w:rPr>
          <w:b/>
          <w:color w:val="4A86E8"/>
          <w:sz w:val="80"/>
          <w:szCs w:val="80"/>
        </w:rPr>
      </w:pPr>
      <w:r>
        <w:rPr>
          <w:sz w:val="26"/>
          <w:szCs w:val="26"/>
        </w:rPr>
        <w:t xml:space="preserve">Adapted by: </w:t>
      </w:r>
      <w:proofErr w:type="spellStart"/>
      <w:r>
        <w:rPr>
          <w:b/>
          <w:sz w:val="26"/>
          <w:szCs w:val="26"/>
        </w:rPr>
        <w:t>LabsLand</w:t>
      </w:r>
      <w:proofErr w:type="spellEnd"/>
    </w:p>
    <w:p w14:paraId="374D1D6D" w14:textId="77777777" w:rsidR="00704181" w:rsidRDefault="00704181">
      <w:pPr>
        <w:rPr>
          <w:sz w:val="28"/>
          <w:szCs w:val="28"/>
        </w:rPr>
      </w:pPr>
    </w:p>
    <w:tbl>
      <w:tblPr>
        <w:tblStyle w:val="a7"/>
        <w:tblW w:w="9029" w:type="dxa"/>
        <w:tblInd w:w="0" w:type="dxa"/>
        <w:tblLayout w:type="fixed"/>
        <w:tblLook w:val="0600" w:firstRow="0" w:lastRow="0" w:firstColumn="0" w:lastColumn="0" w:noHBand="1" w:noVBand="1"/>
      </w:tblPr>
      <w:tblGrid>
        <w:gridCol w:w="9029"/>
      </w:tblGrid>
      <w:tr w:rsidR="00704181" w14:paraId="44592CDF" w14:textId="77777777">
        <w:tc>
          <w:tcPr>
            <w:tcW w:w="9029" w:type="dxa"/>
            <w:shd w:val="clear" w:color="auto" w:fill="6AA84F"/>
            <w:tcMar>
              <w:top w:w="-13" w:type="dxa"/>
              <w:left w:w="-13" w:type="dxa"/>
              <w:bottom w:w="-13" w:type="dxa"/>
              <w:right w:w="-13" w:type="dxa"/>
            </w:tcMar>
          </w:tcPr>
          <w:p w14:paraId="246EA914" w14:textId="77777777" w:rsidR="00704181" w:rsidRDefault="00000000">
            <w:pPr>
              <w:jc w:val="center"/>
              <w:rPr>
                <w:b/>
                <w:color w:val="FFFFFF"/>
                <w:sz w:val="36"/>
                <w:szCs w:val="36"/>
              </w:rPr>
            </w:pPr>
            <w:r>
              <w:rPr>
                <w:b/>
                <w:color w:val="FFFFFF"/>
                <w:sz w:val="36"/>
                <w:szCs w:val="36"/>
              </w:rPr>
              <w:t>Index</w:t>
            </w:r>
          </w:p>
        </w:tc>
      </w:tr>
    </w:tbl>
    <w:p w14:paraId="2C1B413A" w14:textId="77777777" w:rsidR="00704181" w:rsidRDefault="00704181">
      <w:pPr>
        <w:rPr>
          <w:sz w:val="28"/>
          <w:szCs w:val="28"/>
        </w:rPr>
      </w:pPr>
    </w:p>
    <w:sdt>
      <w:sdtPr>
        <w:id w:val="1274906542"/>
        <w:docPartObj>
          <w:docPartGallery w:val="Table of Contents"/>
          <w:docPartUnique/>
        </w:docPartObj>
      </w:sdtPr>
      <w:sdtContent>
        <w:p w14:paraId="2CA21C39" w14:textId="77777777" w:rsidR="00704181"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heading=h.gjdgxs">
            <w:r>
              <w:rPr>
                <w:b/>
                <w:color w:val="000000"/>
              </w:rPr>
              <w:t>Objectives</w:t>
            </w:r>
          </w:hyperlink>
          <w:r>
            <w:rPr>
              <w:b/>
              <w:color w:val="000000"/>
            </w:rPr>
            <w:tab/>
          </w:r>
          <w:r>
            <w:fldChar w:fldCharType="begin"/>
          </w:r>
          <w:r>
            <w:instrText xml:space="preserve"> PAGEREF _heading=h.gjdgxs \h </w:instrText>
          </w:r>
          <w:r>
            <w:fldChar w:fldCharType="separate"/>
          </w:r>
          <w:r>
            <w:rPr>
              <w:b/>
              <w:color w:val="000000"/>
            </w:rPr>
            <w:t>3</w:t>
          </w:r>
          <w:r>
            <w:fldChar w:fldCharType="end"/>
          </w:r>
        </w:p>
        <w:p w14:paraId="62217B7D" w14:textId="77777777" w:rsidR="00704181" w:rsidRDefault="00000000">
          <w:pPr>
            <w:tabs>
              <w:tab w:val="right" w:pos="9025"/>
            </w:tabs>
            <w:spacing w:before="200" w:line="240" w:lineRule="auto"/>
            <w:rPr>
              <w:b/>
              <w:color w:val="000000"/>
            </w:rPr>
          </w:pPr>
          <w:hyperlink w:anchor="_heading=h.30j0zll">
            <w:r>
              <w:rPr>
                <w:b/>
                <w:color w:val="000000"/>
              </w:rPr>
              <w:t>Introduction</w:t>
            </w:r>
          </w:hyperlink>
          <w:r>
            <w:rPr>
              <w:b/>
              <w:color w:val="000000"/>
            </w:rPr>
            <w:tab/>
          </w:r>
          <w:r>
            <w:fldChar w:fldCharType="begin"/>
          </w:r>
          <w:r>
            <w:instrText xml:space="preserve"> PAGEREF _heading=h.30j0zll \h </w:instrText>
          </w:r>
          <w:r>
            <w:fldChar w:fldCharType="separate"/>
          </w:r>
          <w:r>
            <w:rPr>
              <w:b/>
              <w:color w:val="000000"/>
            </w:rPr>
            <w:t>3</w:t>
          </w:r>
          <w:r>
            <w:fldChar w:fldCharType="end"/>
          </w:r>
        </w:p>
        <w:p w14:paraId="398B60DF" w14:textId="77777777" w:rsidR="00704181" w:rsidRDefault="00000000">
          <w:pPr>
            <w:tabs>
              <w:tab w:val="right" w:pos="9025"/>
            </w:tabs>
            <w:spacing w:before="200" w:line="240" w:lineRule="auto"/>
            <w:rPr>
              <w:b/>
              <w:color w:val="000000"/>
            </w:rPr>
          </w:pPr>
          <w:hyperlink w:anchor="_heading=h.1fob9te">
            <w:r>
              <w:rPr>
                <w:b/>
                <w:color w:val="000000"/>
              </w:rPr>
              <w:t>Educational cycle and estimated time</w:t>
            </w:r>
          </w:hyperlink>
          <w:r>
            <w:rPr>
              <w:b/>
              <w:color w:val="000000"/>
            </w:rPr>
            <w:tab/>
          </w:r>
          <w:r>
            <w:fldChar w:fldCharType="begin"/>
          </w:r>
          <w:r>
            <w:instrText xml:space="preserve"> PAGEREF _heading=h.1fob9te \h </w:instrText>
          </w:r>
          <w:r>
            <w:fldChar w:fldCharType="separate"/>
          </w:r>
          <w:r>
            <w:rPr>
              <w:b/>
              <w:color w:val="000000"/>
            </w:rPr>
            <w:t>4</w:t>
          </w:r>
          <w:r>
            <w:fldChar w:fldCharType="end"/>
          </w:r>
        </w:p>
        <w:p w14:paraId="33102B85" w14:textId="77777777" w:rsidR="00704181" w:rsidRDefault="00000000">
          <w:pPr>
            <w:tabs>
              <w:tab w:val="right" w:pos="9025"/>
            </w:tabs>
            <w:spacing w:before="200" w:line="240" w:lineRule="auto"/>
            <w:rPr>
              <w:b/>
              <w:color w:val="000000"/>
            </w:rPr>
          </w:pPr>
          <w:hyperlink w:anchor="_heading=h.3znysh7">
            <w:r>
              <w:rPr>
                <w:b/>
                <w:color w:val="000000"/>
              </w:rPr>
              <w:t>Laboratory</w:t>
            </w:r>
          </w:hyperlink>
          <w:r>
            <w:rPr>
              <w:b/>
              <w:color w:val="000000"/>
            </w:rPr>
            <w:tab/>
          </w:r>
          <w:r>
            <w:fldChar w:fldCharType="begin"/>
          </w:r>
          <w:r>
            <w:instrText xml:space="preserve"> PAGEREF _heading=h.3znysh7 \h </w:instrText>
          </w:r>
          <w:r>
            <w:fldChar w:fldCharType="separate"/>
          </w:r>
          <w:r>
            <w:rPr>
              <w:b/>
              <w:color w:val="000000"/>
            </w:rPr>
            <w:t>4</w:t>
          </w:r>
          <w:r>
            <w:fldChar w:fldCharType="end"/>
          </w:r>
        </w:p>
        <w:p w14:paraId="0E62655C" w14:textId="77777777" w:rsidR="00704181" w:rsidRDefault="00000000">
          <w:pPr>
            <w:tabs>
              <w:tab w:val="right" w:pos="9025"/>
            </w:tabs>
            <w:spacing w:before="200" w:line="240" w:lineRule="auto"/>
            <w:rPr>
              <w:b/>
              <w:color w:val="000000"/>
            </w:rPr>
          </w:pPr>
          <w:hyperlink w:anchor="_heading=h.2et92p0">
            <w:r>
              <w:rPr>
                <w:b/>
                <w:color w:val="000000"/>
              </w:rPr>
              <w:t>Results</w:t>
            </w:r>
          </w:hyperlink>
          <w:r>
            <w:rPr>
              <w:b/>
              <w:color w:val="000000"/>
            </w:rPr>
            <w:tab/>
          </w:r>
          <w:r>
            <w:fldChar w:fldCharType="begin"/>
          </w:r>
          <w:r>
            <w:instrText xml:space="preserve"> PAGEREF _heading=h.2et92p0 \h </w:instrText>
          </w:r>
          <w:r>
            <w:fldChar w:fldCharType="separate"/>
          </w:r>
          <w:r>
            <w:rPr>
              <w:b/>
              <w:color w:val="000000"/>
            </w:rPr>
            <w:t>9</w:t>
          </w:r>
          <w:r>
            <w:fldChar w:fldCharType="end"/>
          </w:r>
        </w:p>
        <w:p w14:paraId="6FD73E4E" w14:textId="77777777" w:rsidR="00704181" w:rsidRDefault="00000000">
          <w:pPr>
            <w:tabs>
              <w:tab w:val="right" w:pos="9025"/>
            </w:tabs>
            <w:spacing w:before="200" w:line="240" w:lineRule="auto"/>
            <w:rPr>
              <w:b/>
              <w:color w:val="000000"/>
            </w:rPr>
          </w:pPr>
          <w:hyperlink w:anchor="_heading=h.tyjcwt">
            <w:r>
              <w:rPr>
                <w:b/>
                <w:color w:val="000000"/>
              </w:rPr>
              <w:t>Conclusions</w:t>
            </w:r>
          </w:hyperlink>
          <w:r>
            <w:rPr>
              <w:b/>
              <w:color w:val="000000"/>
            </w:rPr>
            <w:tab/>
          </w:r>
          <w:r>
            <w:fldChar w:fldCharType="begin"/>
          </w:r>
          <w:r>
            <w:instrText xml:space="preserve"> PAGEREF _heading=h.tyjcwt \h </w:instrText>
          </w:r>
          <w:r>
            <w:fldChar w:fldCharType="separate"/>
          </w:r>
          <w:r>
            <w:rPr>
              <w:b/>
              <w:color w:val="000000"/>
            </w:rPr>
            <w:t>14</w:t>
          </w:r>
          <w:r>
            <w:fldChar w:fldCharType="end"/>
          </w:r>
        </w:p>
        <w:p w14:paraId="2F7E25E8" w14:textId="77777777" w:rsidR="00704181" w:rsidRDefault="00000000">
          <w:pPr>
            <w:tabs>
              <w:tab w:val="right" w:pos="9025"/>
            </w:tabs>
            <w:spacing w:before="200" w:after="80" w:line="240" w:lineRule="auto"/>
            <w:rPr>
              <w:b/>
              <w:color w:val="000000"/>
            </w:rPr>
          </w:pPr>
          <w:hyperlink w:anchor="_heading=h.3dy6vkm">
            <w:r>
              <w:rPr>
                <w:b/>
                <w:color w:val="000000"/>
              </w:rPr>
              <w:t>Bibliography</w:t>
            </w:r>
          </w:hyperlink>
          <w:r>
            <w:rPr>
              <w:b/>
              <w:color w:val="000000"/>
            </w:rPr>
            <w:tab/>
          </w:r>
          <w:r>
            <w:fldChar w:fldCharType="begin"/>
          </w:r>
          <w:r>
            <w:instrText xml:space="preserve"> PAGEREF _heading=h.3dy6vkm \h </w:instrText>
          </w:r>
          <w:r>
            <w:fldChar w:fldCharType="separate"/>
          </w:r>
          <w:r>
            <w:rPr>
              <w:b/>
              <w:color w:val="000000"/>
            </w:rPr>
            <w:t>14</w:t>
          </w:r>
          <w:r>
            <w:fldChar w:fldCharType="end"/>
          </w:r>
          <w:r>
            <w:fldChar w:fldCharType="end"/>
          </w:r>
        </w:p>
      </w:sdtContent>
    </w:sdt>
    <w:p w14:paraId="1580FA98" w14:textId="77777777" w:rsidR="00704181" w:rsidRDefault="00704181"/>
    <w:p w14:paraId="101A4D5F" w14:textId="77777777" w:rsidR="00704181" w:rsidRDefault="00704181">
      <w:pPr>
        <w:widowControl w:val="0"/>
        <w:spacing w:before="200" w:after="200"/>
        <w:jc w:val="both"/>
        <w:rPr>
          <w:sz w:val="24"/>
          <w:szCs w:val="24"/>
        </w:rPr>
      </w:pPr>
    </w:p>
    <w:p w14:paraId="5C16F92C" w14:textId="77777777" w:rsidR="00704181" w:rsidRDefault="00704181">
      <w:pPr>
        <w:widowControl w:val="0"/>
        <w:spacing w:before="200" w:after="200"/>
        <w:jc w:val="both"/>
        <w:rPr>
          <w:sz w:val="24"/>
          <w:szCs w:val="24"/>
        </w:rPr>
      </w:pPr>
    </w:p>
    <w:p w14:paraId="7861E7A5" w14:textId="77777777" w:rsidR="00704181" w:rsidRDefault="00704181">
      <w:pPr>
        <w:widowControl w:val="0"/>
        <w:spacing w:before="200" w:after="200"/>
        <w:jc w:val="both"/>
        <w:rPr>
          <w:sz w:val="24"/>
          <w:szCs w:val="24"/>
        </w:rPr>
      </w:pPr>
    </w:p>
    <w:p w14:paraId="5F009CE6" w14:textId="77777777" w:rsidR="00704181" w:rsidRDefault="00704181">
      <w:pPr>
        <w:widowControl w:val="0"/>
        <w:spacing w:before="200" w:after="200"/>
        <w:jc w:val="both"/>
        <w:rPr>
          <w:sz w:val="24"/>
          <w:szCs w:val="24"/>
        </w:rPr>
      </w:pPr>
    </w:p>
    <w:p w14:paraId="35901C6A" w14:textId="77777777" w:rsidR="00704181" w:rsidRDefault="00704181">
      <w:pPr>
        <w:widowControl w:val="0"/>
        <w:spacing w:before="200" w:after="200"/>
        <w:jc w:val="both"/>
        <w:rPr>
          <w:sz w:val="24"/>
          <w:szCs w:val="24"/>
        </w:rPr>
      </w:pPr>
    </w:p>
    <w:p w14:paraId="749EE7D2" w14:textId="77777777" w:rsidR="00704181" w:rsidRDefault="00704181">
      <w:pPr>
        <w:widowControl w:val="0"/>
        <w:spacing w:before="200" w:after="200"/>
        <w:jc w:val="both"/>
        <w:rPr>
          <w:sz w:val="24"/>
          <w:szCs w:val="24"/>
        </w:rPr>
      </w:pPr>
    </w:p>
    <w:p w14:paraId="0F3050EA" w14:textId="77777777" w:rsidR="00704181" w:rsidRDefault="00704181">
      <w:pPr>
        <w:widowControl w:val="0"/>
        <w:spacing w:before="200" w:after="200"/>
        <w:jc w:val="both"/>
        <w:rPr>
          <w:sz w:val="24"/>
          <w:szCs w:val="24"/>
        </w:rPr>
      </w:pPr>
    </w:p>
    <w:p w14:paraId="4B9CCA98" w14:textId="77777777" w:rsidR="00704181" w:rsidRDefault="00704181">
      <w:pPr>
        <w:widowControl w:val="0"/>
        <w:spacing w:before="200" w:after="200"/>
        <w:jc w:val="both"/>
        <w:rPr>
          <w:sz w:val="24"/>
          <w:szCs w:val="24"/>
        </w:rPr>
      </w:pPr>
    </w:p>
    <w:p w14:paraId="5914FBCA" w14:textId="77777777" w:rsidR="00704181" w:rsidRDefault="00704181">
      <w:pPr>
        <w:widowControl w:val="0"/>
        <w:spacing w:before="200" w:after="200"/>
        <w:jc w:val="both"/>
        <w:rPr>
          <w:sz w:val="24"/>
          <w:szCs w:val="24"/>
        </w:rPr>
      </w:pPr>
    </w:p>
    <w:p w14:paraId="150C54AB" w14:textId="77777777" w:rsidR="00704181" w:rsidRDefault="00704181">
      <w:pPr>
        <w:widowControl w:val="0"/>
        <w:spacing w:before="200" w:after="200"/>
        <w:jc w:val="both"/>
        <w:rPr>
          <w:sz w:val="24"/>
          <w:szCs w:val="24"/>
        </w:rPr>
      </w:pPr>
    </w:p>
    <w:p w14:paraId="1518E743" w14:textId="77777777" w:rsidR="00704181" w:rsidRDefault="00704181">
      <w:pPr>
        <w:widowControl w:val="0"/>
        <w:spacing w:before="200" w:after="200"/>
        <w:jc w:val="both"/>
        <w:rPr>
          <w:sz w:val="24"/>
          <w:szCs w:val="24"/>
        </w:rPr>
      </w:pPr>
    </w:p>
    <w:p w14:paraId="776C9F39" w14:textId="77777777" w:rsidR="00704181" w:rsidRDefault="00704181">
      <w:pPr>
        <w:widowControl w:val="0"/>
        <w:spacing w:before="200" w:after="200"/>
        <w:jc w:val="both"/>
        <w:rPr>
          <w:sz w:val="24"/>
          <w:szCs w:val="24"/>
        </w:rPr>
      </w:pPr>
    </w:p>
    <w:p w14:paraId="1D253C27" w14:textId="77777777" w:rsidR="00704181" w:rsidRDefault="00704181">
      <w:pPr>
        <w:widowControl w:val="0"/>
        <w:spacing w:before="200" w:after="200"/>
        <w:jc w:val="both"/>
        <w:rPr>
          <w:sz w:val="24"/>
          <w:szCs w:val="24"/>
        </w:rPr>
      </w:pPr>
    </w:p>
    <w:p w14:paraId="3881741E" w14:textId="77777777" w:rsidR="00704181" w:rsidRDefault="00704181">
      <w:pPr>
        <w:widowControl w:val="0"/>
        <w:spacing w:before="200" w:after="200"/>
        <w:jc w:val="both"/>
        <w:rPr>
          <w:sz w:val="24"/>
          <w:szCs w:val="24"/>
        </w:rPr>
      </w:pPr>
    </w:p>
    <w:p w14:paraId="59507578" w14:textId="77777777" w:rsidR="00704181" w:rsidRDefault="00704181">
      <w:pPr>
        <w:widowControl w:val="0"/>
        <w:spacing w:before="200" w:after="200"/>
        <w:jc w:val="both"/>
        <w:rPr>
          <w:sz w:val="24"/>
          <w:szCs w:val="24"/>
        </w:rPr>
      </w:pPr>
    </w:p>
    <w:p w14:paraId="7EB75CE0" w14:textId="77777777" w:rsidR="00704181" w:rsidRDefault="00704181">
      <w:pPr>
        <w:widowControl w:val="0"/>
        <w:spacing w:before="200" w:after="200"/>
        <w:jc w:val="both"/>
        <w:rPr>
          <w:sz w:val="24"/>
          <w:szCs w:val="24"/>
        </w:rPr>
      </w:pPr>
    </w:p>
    <w:p w14:paraId="5B72E6DF" w14:textId="77777777" w:rsidR="00704181" w:rsidRDefault="00704181">
      <w:pPr>
        <w:widowControl w:val="0"/>
        <w:spacing w:before="200" w:after="200"/>
        <w:jc w:val="both"/>
        <w:rPr>
          <w:sz w:val="24"/>
          <w:szCs w:val="24"/>
        </w:rPr>
      </w:pPr>
    </w:p>
    <w:tbl>
      <w:tblPr>
        <w:tblStyle w:val="a8"/>
        <w:tblW w:w="9029" w:type="dxa"/>
        <w:tblInd w:w="0" w:type="dxa"/>
        <w:tblLayout w:type="fixed"/>
        <w:tblLook w:val="0600" w:firstRow="0" w:lastRow="0" w:firstColumn="0" w:lastColumn="0" w:noHBand="1" w:noVBand="1"/>
      </w:tblPr>
      <w:tblGrid>
        <w:gridCol w:w="9029"/>
      </w:tblGrid>
      <w:tr w:rsidR="00704181" w14:paraId="18689535" w14:textId="77777777">
        <w:tc>
          <w:tcPr>
            <w:tcW w:w="9029" w:type="dxa"/>
            <w:shd w:val="clear" w:color="auto" w:fill="6AA84F"/>
            <w:tcMar>
              <w:top w:w="-13" w:type="dxa"/>
              <w:left w:w="-13" w:type="dxa"/>
              <w:bottom w:w="-13" w:type="dxa"/>
              <w:right w:w="-13" w:type="dxa"/>
            </w:tcMar>
          </w:tcPr>
          <w:p w14:paraId="620FEF9F" w14:textId="77777777" w:rsidR="00704181" w:rsidRDefault="00000000">
            <w:pPr>
              <w:pStyle w:val="Ttulo1"/>
              <w:spacing w:before="0" w:after="0"/>
              <w:jc w:val="center"/>
              <w:rPr>
                <w:b/>
                <w:color w:val="FFFFFF"/>
                <w:sz w:val="36"/>
                <w:szCs w:val="36"/>
              </w:rPr>
            </w:pPr>
            <w:bookmarkStart w:id="0" w:name="_heading=h.gjdgxs" w:colFirst="0" w:colLast="0"/>
            <w:bookmarkEnd w:id="0"/>
            <w:r>
              <w:rPr>
                <w:b/>
                <w:color w:val="FFFFFF"/>
                <w:sz w:val="36"/>
                <w:szCs w:val="36"/>
              </w:rPr>
              <w:lastRenderedPageBreak/>
              <w:t>Objectives</w:t>
            </w:r>
          </w:p>
        </w:tc>
      </w:tr>
    </w:tbl>
    <w:p w14:paraId="7F30E20D" w14:textId="77777777" w:rsidR="00704181" w:rsidRDefault="00000000">
      <w:pPr>
        <w:spacing w:before="200" w:after="200"/>
        <w:jc w:val="both"/>
      </w:pPr>
      <w:r>
        <w:t>The objective of this laboratory is to develop technological skills managing a virtual laboratory, as well as to learn chemical concepts regarding the acidity and basicity of the species under study.</w:t>
      </w:r>
    </w:p>
    <w:p w14:paraId="115CF7B9" w14:textId="77777777" w:rsidR="00704181" w:rsidRDefault="00704181">
      <w:pPr>
        <w:rPr>
          <w:sz w:val="28"/>
          <w:szCs w:val="28"/>
        </w:rPr>
      </w:pPr>
    </w:p>
    <w:tbl>
      <w:tblPr>
        <w:tblStyle w:val="a9"/>
        <w:tblW w:w="9029" w:type="dxa"/>
        <w:tblInd w:w="0" w:type="dxa"/>
        <w:tblLayout w:type="fixed"/>
        <w:tblLook w:val="0600" w:firstRow="0" w:lastRow="0" w:firstColumn="0" w:lastColumn="0" w:noHBand="1" w:noVBand="1"/>
      </w:tblPr>
      <w:tblGrid>
        <w:gridCol w:w="9029"/>
      </w:tblGrid>
      <w:tr w:rsidR="00704181" w14:paraId="086A9CE7" w14:textId="77777777">
        <w:tc>
          <w:tcPr>
            <w:tcW w:w="9029" w:type="dxa"/>
            <w:shd w:val="clear" w:color="auto" w:fill="6AA84F"/>
            <w:tcMar>
              <w:top w:w="-13" w:type="dxa"/>
              <w:left w:w="-13" w:type="dxa"/>
              <w:bottom w:w="-13" w:type="dxa"/>
              <w:right w:w="-13" w:type="dxa"/>
            </w:tcMar>
          </w:tcPr>
          <w:p w14:paraId="3698365F" w14:textId="77777777" w:rsidR="00704181" w:rsidRDefault="00000000">
            <w:pPr>
              <w:pStyle w:val="Ttulo1"/>
              <w:spacing w:before="0" w:after="0"/>
              <w:jc w:val="center"/>
              <w:rPr>
                <w:b/>
                <w:color w:val="FFFFFF"/>
                <w:sz w:val="36"/>
                <w:szCs w:val="36"/>
              </w:rPr>
            </w:pPr>
            <w:bookmarkStart w:id="1" w:name="_heading=h.30j0zll" w:colFirst="0" w:colLast="0"/>
            <w:bookmarkEnd w:id="1"/>
            <w:r>
              <w:rPr>
                <w:b/>
                <w:color w:val="FFFFFF"/>
                <w:sz w:val="36"/>
                <w:szCs w:val="36"/>
              </w:rPr>
              <w:t>Introduction</w:t>
            </w:r>
          </w:p>
        </w:tc>
      </w:tr>
    </w:tbl>
    <w:p w14:paraId="7D11FAD8" w14:textId="77777777" w:rsidR="00704181" w:rsidRDefault="00000000">
      <w:pPr>
        <w:widowControl w:val="0"/>
        <w:spacing w:before="200" w:after="200"/>
        <w:jc w:val="both"/>
      </w:pPr>
      <w:r>
        <w:t xml:space="preserve">Acid-base titration (also known as neutralization or volumetry) is a technique that allows knowing the acidic or basic concentration of an unknown substance. Is a method based on dripping an unknown acid solution with a basic titrant whose concentration is perfectly known and an indicator (phenolphthalein in this case), until the equivalence point is reached. This indicates the equivalence between the analyte and the titrant (see formula below). This effect is observed when the solution changes color. Initially the solution was </w:t>
      </w:r>
      <w:proofErr w:type="spellStart"/>
      <w:r>
        <w:t>colorlees</w:t>
      </w:r>
      <w:proofErr w:type="spellEnd"/>
      <w:r>
        <w:t xml:space="preserve"> and the experiment was stopped when the solution turned pink. </w:t>
      </w:r>
    </w:p>
    <w:p w14:paraId="35D121C3" w14:textId="77777777" w:rsidR="00704181" w:rsidRDefault="00000000">
      <w:pPr>
        <w:widowControl w:val="0"/>
        <w:spacing w:before="200" w:after="200"/>
        <w:jc w:val="both"/>
      </w:pPr>
      <w:r>
        <w:t>The concepts that must be mastered in this technique are:</w:t>
      </w:r>
    </w:p>
    <w:p w14:paraId="330901E5" w14:textId="77777777" w:rsidR="00704181" w:rsidRDefault="00000000">
      <w:pPr>
        <w:widowControl w:val="0"/>
        <w:numPr>
          <w:ilvl w:val="0"/>
          <w:numId w:val="1"/>
        </w:numPr>
        <w:spacing w:before="200"/>
        <w:jc w:val="both"/>
        <w:rPr>
          <w:rFonts w:ascii="Calibri" w:eastAsia="Calibri" w:hAnsi="Calibri" w:cs="Calibri"/>
        </w:rPr>
      </w:pPr>
      <w:r>
        <w:rPr>
          <w:b/>
        </w:rPr>
        <w:t>Titrant or standard substance</w:t>
      </w:r>
      <w:r>
        <w:t>: Solution whose concentration (acidity or basicity) and its volume are known.</w:t>
      </w:r>
    </w:p>
    <w:p w14:paraId="7B9A6FAD" w14:textId="77777777" w:rsidR="00704181" w:rsidRDefault="00000000">
      <w:pPr>
        <w:widowControl w:val="0"/>
        <w:numPr>
          <w:ilvl w:val="0"/>
          <w:numId w:val="1"/>
        </w:numPr>
        <w:jc w:val="both"/>
        <w:rPr>
          <w:rFonts w:ascii="Calibri" w:eastAsia="Calibri" w:hAnsi="Calibri" w:cs="Calibri"/>
        </w:rPr>
      </w:pPr>
      <w:r>
        <w:rPr>
          <w:b/>
        </w:rPr>
        <w:t>Analyte or unknown sample</w:t>
      </w:r>
      <w:r>
        <w:t>: Solution whose degree of acidity or basicity is not known, but its volume is.</w:t>
      </w:r>
    </w:p>
    <w:p w14:paraId="6EBB369B" w14:textId="77777777" w:rsidR="00704181" w:rsidRDefault="00000000">
      <w:pPr>
        <w:widowControl w:val="0"/>
        <w:numPr>
          <w:ilvl w:val="0"/>
          <w:numId w:val="1"/>
        </w:numPr>
        <w:jc w:val="both"/>
        <w:rPr>
          <w:rFonts w:ascii="Calibri" w:eastAsia="Calibri" w:hAnsi="Calibri" w:cs="Calibri"/>
        </w:rPr>
      </w:pPr>
      <w:r>
        <w:rPr>
          <w:b/>
        </w:rPr>
        <w:t>Equivalence point</w:t>
      </w:r>
      <w:r>
        <w:t xml:space="preserve">: Occurs when both substances, </w:t>
      </w:r>
      <w:proofErr w:type="gramStart"/>
      <w:r>
        <w:t>titrant</w:t>
      </w:r>
      <w:proofErr w:type="gramEnd"/>
      <w:r>
        <w:t xml:space="preserve"> and analyte, are equivalent and the formula </w:t>
      </w:r>
      <w:r>
        <w:rPr>
          <w:i/>
        </w:rPr>
        <w:t xml:space="preserve">N </w:t>
      </w:r>
      <w:r>
        <w:rPr>
          <w:i/>
          <w:vertAlign w:val="subscript"/>
        </w:rPr>
        <w:t xml:space="preserve">a </w:t>
      </w:r>
      <w:r>
        <w:rPr>
          <w:i/>
        </w:rPr>
        <w:t xml:space="preserve">·V </w:t>
      </w:r>
      <w:r>
        <w:rPr>
          <w:i/>
          <w:vertAlign w:val="subscript"/>
        </w:rPr>
        <w:t xml:space="preserve">a </w:t>
      </w:r>
      <w:r>
        <w:rPr>
          <w:i/>
        </w:rPr>
        <w:t xml:space="preserve">= N </w:t>
      </w:r>
      <w:r>
        <w:rPr>
          <w:i/>
          <w:vertAlign w:val="subscript"/>
        </w:rPr>
        <w:t xml:space="preserve">b </w:t>
      </w:r>
      <w:r>
        <w:rPr>
          <w:i/>
        </w:rPr>
        <w:t xml:space="preserve">·V </w:t>
      </w:r>
      <w:r>
        <w:rPr>
          <w:i/>
          <w:vertAlign w:val="subscript"/>
        </w:rPr>
        <w:t xml:space="preserve">b </w:t>
      </w:r>
      <w:r>
        <w:t>(explained later) is fulfilled.</w:t>
      </w:r>
    </w:p>
    <w:p w14:paraId="1F2AD4C4" w14:textId="77777777" w:rsidR="00704181" w:rsidRDefault="00000000">
      <w:pPr>
        <w:widowControl w:val="0"/>
        <w:numPr>
          <w:ilvl w:val="0"/>
          <w:numId w:val="1"/>
        </w:numPr>
        <w:jc w:val="both"/>
        <w:rPr>
          <w:rFonts w:ascii="Calibri" w:eastAsia="Calibri" w:hAnsi="Calibri" w:cs="Calibri"/>
        </w:rPr>
      </w:pPr>
      <w:r>
        <w:rPr>
          <w:b/>
        </w:rPr>
        <w:t>pH</w:t>
      </w:r>
      <w:r>
        <w:t xml:space="preserve">: Degree of acidity of a solution. pOH would be for degree of basicity. However, they are complementary, that is, if there is a high pH it is an acid solution and if it is </w:t>
      </w:r>
      <w:proofErr w:type="gramStart"/>
      <w:r>
        <w:t>low</w:t>
      </w:r>
      <w:proofErr w:type="gramEnd"/>
      <w:r>
        <w:t xml:space="preserve"> it is a basic solution.</w:t>
      </w:r>
    </w:p>
    <w:p w14:paraId="493131CD" w14:textId="77777777" w:rsidR="00704181" w:rsidRDefault="00000000">
      <w:pPr>
        <w:widowControl w:val="0"/>
        <w:numPr>
          <w:ilvl w:val="0"/>
          <w:numId w:val="1"/>
        </w:numPr>
        <w:spacing w:after="200"/>
        <w:jc w:val="both"/>
        <w:rPr>
          <w:rFonts w:ascii="Calibri" w:eastAsia="Calibri" w:hAnsi="Calibri" w:cs="Calibri"/>
        </w:rPr>
      </w:pPr>
      <w:r>
        <w:rPr>
          <w:b/>
        </w:rPr>
        <w:t>Phenolphthalein</w:t>
      </w:r>
      <w:r>
        <w:t>: Colorless chemical indicator in acid solutions and pink in basic ones (pH greater than 8.2).</w:t>
      </w:r>
    </w:p>
    <w:p w14:paraId="7F507410" w14:textId="77777777" w:rsidR="00704181" w:rsidRDefault="00000000">
      <w:pPr>
        <w:widowControl w:val="0"/>
        <w:spacing w:before="200" w:after="200"/>
        <w:jc w:val="both"/>
      </w:pPr>
      <w:r>
        <w:t>Since we know the volumes of both solutions and the concentration of the base, we can find out the concentration of the acid with the following formula:</w:t>
      </w:r>
    </w:p>
    <w:p w14:paraId="4C818DE9" w14:textId="77777777" w:rsidR="00704181" w:rsidRDefault="00000000">
      <w:pPr>
        <w:widowControl w:val="0"/>
        <w:spacing w:before="200" w:after="200"/>
        <w:jc w:val="center"/>
        <w:rPr>
          <w:b/>
          <w:sz w:val="24"/>
          <w:szCs w:val="24"/>
        </w:rPr>
      </w:pPr>
      <m:oMath>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b</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b</m:t>
            </m:r>
          </m:sub>
        </m:sSub>
      </m:oMath>
      <w:r>
        <w:rPr>
          <w:sz w:val="24"/>
          <w:szCs w:val="24"/>
        </w:rPr>
        <w:tab/>
      </w:r>
      <w:r>
        <w:rPr>
          <w:b/>
          <w:sz w:val="24"/>
          <w:szCs w:val="24"/>
        </w:rPr>
        <w:t>Eq. 1</w:t>
      </w:r>
    </w:p>
    <w:p w14:paraId="212E067A" w14:textId="77777777" w:rsidR="00704181" w:rsidRDefault="00000000">
      <w:pPr>
        <w:widowControl w:val="0"/>
        <w:spacing w:line="240" w:lineRule="auto"/>
        <w:jc w:val="center"/>
        <w:rPr>
          <w:sz w:val="18"/>
          <w:szCs w:val="18"/>
        </w:rPr>
      </w:pPr>
      <w:r>
        <w:rPr>
          <w:b/>
          <w:sz w:val="18"/>
          <w:szCs w:val="18"/>
        </w:rPr>
        <w:t xml:space="preserve">N </w:t>
      </w:r>
      <w:proofErr w:type="gramStart"/>
      <w:r>
        <w:rPr>
          <w:b/>
          <w:sz w:val="18"/>
          <w:szCs w:val="18"/>
          <w:vertAlign w:val="subscript"/>
        </w:rPr>
        <w:t xml:space="preserve">a </w:t>
      </w:r>
      <w:r>
        <w:rPr>
          <w:b/>
          <w:sz w:val="18"/>
          <w:szCs w:val="18"/>
        </w:rPr>
        <w:t>:</w:t>
      </w:r>
      <w:proofErr w:type="gramEnd"/>
      <w:r>
        <w:rPr>
          <w:b/>
          <w:sz w:val="18"/>
          <w:szCs w:val="18"/>
        </w:rPr>
        <w:t xml:space="preserve"> </w:t>
      </w:r>
      <w:r>
        <w:rPr>
          <w:sz w:val="18"/>
          <w:szCs w:val="18"/>
        </w:rPr>
        <w:t>Concentration of the acid in the unknown solution.</w:t>
      </w:r>
    </w:p>
    <w:p w14:paraId="7DBB4032" w14:textId="77777777" w:rsidR="00704181" w:rsidRDefault="00000000">
      <w:pPr>
        <w:widowControl w:val="0"/>
        <w:spacing w:line="240" w:lineRule="auto"/>
        <w:jc w:val="center"/>
        <w:rPr>
          <w:sz w:val="18"/>
          <w:szCs w:val="18"/>
        </w:rPr>
      </w:pPr>
      <w:r>
        <w:rPr>
          <w:b/>
          <w:sz w:val="18"/>
          <w:szCs w:val="18"/>
        </w:rPr>
        <w:t xml:space="preserve">V </w:t>
      </w:r>
      <w:proofErr w:type="gramStart"/>
      <w:r>
        <w:rPr>
          <w:b/>
          <w:sz w:val="18"/>
          <w:szCs w:val="18"/>
          <w:vertAlign w:val="subscript"/>
        </w:rPr>
        <w:t xml:space="preserve">a </w:t>
      </w:r>
      <w:r>
        <w:rPr>
          <w:b/>
          <w:sz w:val="18"/>
          <w:szCs w:val="18"/>
        </w:rPr>
        <w:t>:</w:t>
      </w:r>
      <w:proofErr w:type="gramEnd"/>
      <w:r>
        <w:rPr>
          <w:b/>
          <w:sz w:val="18"/>
          <w:szCs w:val="18"/>
        </w:rPr>
        <w:t xml:space="preserve"> </w:t>
      </w:r>
      <w:r>
        <w:rPr>
          <w:sz w:val="18"/>
          <w:szCs w:val="18"/>
        </w:rPr>
        <w:t>Volume of the unknown sample containing the acid.</w:t>
      </w:r>
    </w:p>
    <w:p w14:paraId="139AC21E" w14:textId="77777777" w:rsidR="00704181" w:rsidRDefault="00000000">
      <w:pPr>
        <w:widowControl w:val="0"/>
        <w:spacing w:line="240" w:lineRule="auto"/>
        <w:jc w:val="center"/>
        <w:rPr>
          <w:sz w:val="18"/>
          <w:szCs w:val="18"/>
        </w:rPr>
      </w:pPr>
      <w:r>
        <w:rPr>
          <w:b/>
          <w:sz w:val="18"/>
          <w:szCs w:val="18"/>
        </w:rPr>
        <w:t xml:space="preserve">N </w:t>
      </w:r>
      <w:proofErr w:type="gramStart"/>
      <w:r>
        <w:rPr>
          <w:b/>
          <w:sz w:val="18"/>
          <w:szCs w:val="18"/>
          <w:vertAlign w:val="subscript"/>
        </w:rPr>
        <w:t xml:space="preserve">b </w:t>
      </w:r>
      <w:r>
        <w:rPr>
          <w:b/>
          <w:sz w:val="18"/>
          <w:szCs w:val="18"/>
        </w:rPr>
        <w:t>:</w:t>
      </w:r>
      <w:proofErr w:type="gramEnd"/>
      <w:r>
        <w:rPr>
          <w:b/>
          <w:sz w:val="18"/>
          <w:szCs w:val="18"/>
        </w:rPr>
        <w:t xml:space="preserve"> </w:t>
      </w:r>
      <w:r>
        <w:rPr>
          <w:sz w:val="18"/>
          <w:szCs w:val="18"/>
        </w:rPr>
        <w:t>Concentration of the base in the standard solution.</w:t>
      </w:r>
    </w:p>
    <w:p w14:paraId="3315A76E" w14:textId="77777777" w:rsidR="00704181" w:rsidRDefault="00000000">
      <w:pPr>
        <w:widowControl w:val="0"/>
        <w:spacing w:line="240" w:lineRule="auto"/>
        <w:jc w:val="center"/>
        <w:rPr>
          <w:sz w:val="18"/>
          <w:szCs w:val="18"/>
        </w:rPr>
      </w:pPr>
      <w:r>
        <w:rPr>
          <w:b/>
          <w:sz w:val="18"/>
          <w:szCs w:val="18"/>
        </w:rPr>
        <w:t xml:space="preserve">V </w:t>
      </w:r>
      <w:proofErr w:type="gramStart"/>
      <w:r>
        <w:rPr>
          <w:b/>
          <w:sz w:val="18"/>
          <w:szCs w:val="18"/>
          <w:vertAlign w:val="subscript"/>
        </w:rPr>
        <w:t xml:space="preserve">b </w:t>
      </w:r>
      <w:r>
        <w:rPr>
          <w:b/>
          <w:sz w:val="18"/>
          <w:szCs w:val="18"/>
        </w:rPr>
        <w:t>:</w:t>
      </w:r>
      <w:proofErr w:type="gramEnd"/>
      <w:r>
        <w:rPr>
          <w:b/>
          <w:sz w:val="18"/>
          <w:szCs w:val="18"/>
        </w:rPr>
        <w:t xml:space="preserve"> </w:t>
      </w:r>
      <w:r>
        <w:rPr>
          <w:sz w:val="18"/>
          <w:szCs w:val="18"/>
        </w:rPr>
        <w:t>Volume of the standard sample containing the acid.</w:t>
      </w:r>
    </w:p>
    <w:p w14:paraId="60C4F915" w14:textId="77777777" w:rsidR="00704181" w:rsidRDefault="00704181">
      <w:pPr>
        <w:widowControl w:val="0"/>
        <w:spacing w:line="240" w:lineRule="auto"/>
        <w:jc w:val="center"/>
        <w:rPr>
          <w:sz w:val="20"/>
          <w:szCs w:val="20"/>
        </w:rPr>
      </w:pPr>
    </w:p>
    <w:p w14:paraId="7F947776" w14:textId="77777777" w:rsidR="00704181" w:rsidRDefault="00704181">
      <w:pPr>
        <w:widowControl w:val="0"/>
        <w:spacing w:line="240" w:lineRule="auto"/>
        <w:jc w:val="center"/>
        <w:rPr>
          <w:sz w:val="20"/>
          <w:szCs w:val="20"/>
        </w:rPr>
      </w:pPr>
    </w:p>
    <w:p w14:paraId="7DB7EC17" w14:textId="77777777" w:rsidR="00704181" w:rsidRDefault="00000000">
      <w:pPr>
        <w:widowControl w:val="0"/>
        <w:spacing w:line="240" w:lineRule="auto"/>
        <w:jc w:val="both"/>
      </w:pPr>
      <w:r>
        <w:t xml:space="preserve">Also, in chemistry it is important to determine the concentration very accurately, so the result is always given with its error. For this, it is necessary to </w:t>
      </w:r>
      <w:proofErr w:type="gramStart"/>
      <w:r>
        <w:t>take into account</w:t>
      </w:r>
      <w:proofErr w:type="gramEnd"/>
      <w:r>
        <w:t xml:space="preserve"> the error of the material (volume pipette), of the titrant and of the volume. In </w:t>
      </w:r>
      <w:r>
        <w:rPr>
          <w:b/>
        </w:rPr>
        <w:t>Eq. 2</w:t>
      </w:r>
      <w:r>
        <w:t>, the formula used to determine the error of the citric acid concentration is observed.</w:t>
      </w:r>
    </w:p>
    <w:p w14:paraId="13E922DF" w14:textId="77777777" w:rsidR="00704181" w:rsidRDefault="00704181">
      <w:pPr>
        <w:widowControl w:val="0"/>
        <w:spacing w:line="240" w:lineRule="auto"/>
        <w:jc w:val="both"/>
      </w:pPr>
    </w:p>
    <w:p w14:paraId="71EB89DE" w14:textId="63FA4B7F" w:rsidR="00704181" w:rsidRDefault="00000000">
      <w:pPr>
        <w:spacing w:before="200" w:after="200"/>
        <w:jc w:val="center"/>
        <w:rPr>
          <w:b/>
        </w:rPr>
      </w:pPr>
      <w:bookmarkStart w:id="2" w:name="_Hlk116917455"/>
      <m:oMath>
        <m:r>
          <w:rPr>
            <w:rFonts w:ascii="Cambria Math" w:hAnsi="Cambria Math"/>
          </w:rPr>
          <w:lastRenderedPageBreak/>
          <m:t>σ</m:t>
        </m:r>
      </m:oMath>
      <w:r>
        <w:rPr>
          <w:vertAlign w:val="subscript"/>
        </w:rPr>
        <w:t>Ácid citric</w:t>
      </w:r>
      <w:r>
        <w:t>=</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Error material</m:t>
                    </m:r>
                  </m:num>
                  <m:den>
                    <m:sSub>
                      <m:sSubPr>
                        <m:ctrlPr>
                          <w:rPr>
                            <w:rFonts w:ascii="Cambria Math" w:hAnsi="Cambria Math"/>
                          </w:rPr>
                        </m:ctrlPr>
                      </m:sSubPr>
                      <m:e>
                        <m:r>
                          <w:rPr>
                            <w:rFonts w:ascii="Cambria Math" w:hAnsi="Cambria Math"/>
                          </w:rPr>
                          <m:t>V</m:t>
                        </m:r>
                      </m:e>
                      <m:sub>
                        <m:r>
                          <w:rPr>
                            <w:rFonts w:ascii="Cambria Math" w:hAnsi="Cambria Math"/>
                          </w:rPr>
                          <m:t>equivalence point</m:t>
                        </m:r>
                      </m:sub>
                    </m:sSub>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Error volume sample</m:t>
                    </m:r>
                  </m:num>
                  <m:den>
                    <m:sSub>
                      <m:sSubPr>
                        <m:ctrlPr>
                          <w:rPr>
                            <w:rFonts w:ascii="Cambria Math" w:hAnsi="Cambria Math"/>
                          </w:rPr>
                        </m:ctrlPr>
                      </m:sSubPr>
                      <m:e>
                        <m:r>
                          <w:rPr>
                            <w:rFonts w:ascii="Cambria Math" w:hAnsi="Cambria Math"/>
                          </w:rPr>
                          <m:t>V</m:t>
                        </m:r>
                      </m:e>
                      <m:sub>
                        <m:r>
                          <w:rPr>
                            <w:rFonts w:ascii="Cambria Math" w:hAnsi="Cambria Math"/>
                          </w:rPr>
                          <m:t>sample</m:t>
                        </m:r>
                      </m:sub>
                    </m:sSub>
                  </m:den>
                </m:f>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m:t>
                </m:r>
                <m:f>
                  <m:fPr>
                    <m:ctrlPr>
                      <w:rPr>
                        <w:rFonts w:ascii="Cambria Math" w:hAnsi="Cambria Math"/>
                      </w:rPr>
                    </m:ctrlPr>
                  </m:fPr>
                  <m:num>
                    <m:r>
                      <w:rPr>
                        <w:rFonts w:ascii="Cambria Math" w:hAnsi="Cambria Math"/>
                      </w:rPr>
                      <m:t>Error titrant</m:t>
                    </m:r>
                  </m:num>
                  <m:den>
                    <m:sSub>
                      <m:sSubPr>
                        <m:ctrlPr>
                          <w:rPr>
                            <w:rFonts w:ascii="Cambria Math" w:hAnsi="Cambria Math"/>
                          </w:rPr>
                        </m:ctrlPr>
                      </m:sSubPr>
                      <m:e>
                        <m:r>
                          <w:rPr>
                            <w:rFonts w:ascii="Cambria Math" w:hAnsi="Cambria Math"/>
                          </w:rPr>
                          <m:t>C</m:t>
                        </m:r>
                      </m:e>
                      <m:sub>
                        <m:r>
                          <w:rPr>
                            <w:rFonts w:ascii="Cambria Math" w:hAnsi="Cambria Math"/>
                          </w:rPr>
                          <m:t>titrant</m:t>
                        </m:r>
                      </m:sub>
                    </m:sSub>
                  </m:den>
                </m:f>
                <m:r>
                  <w:rPr>
                    <w:rFonts w:ascii="Cambria Math" w:hAnsi="Cambria Math"/>
                  </w:rPr>
                  <m:t>)</m:t>
                </m:r>
              </m:e>
              <m:sup>
                <m:r>
                  <w:rPr>
                    <w:rFonts w:ascii="Cambria Math" w:hAnsi="Cambria Math"/>
                  </w:rPr>
                  <m:t>2</m:t>
                </m:r>
              </m:sup>
            </m:sSup>
          </m:e>
        </m:rad>
      </m:oMath>
      <w:r>
        <w:t xml:space="preserve">    </w:t>
      </w:r>
      <w:r>
        <w:rPr>
          <w:b/>
        </w:rPr>
        <w:t>Ec.2</w:t>
      </w:r>
    </w:p>
    <w:bookmarkEnd w:id="2"/>
    <w:p w14:paraId="74150713" w14:textId="77777777" w:rsidR="00704181" w:rsidRDefault="00704181">
      <w:pPr>
        <w:widowControl w:val="0"/>
        <w:spacing w:line="240" w:lineRule="auto"/>
        <w:jc w:val="both"/>
      </w:pPr>
    </w:p>
    <w:p w14:paraId="65BD66CD" w14:textId="77777777" w:rsidR="00704181" w:rsidRDefault="00000000">
      <w:pPr>
        <w:widowControl w:val="0"/>
        <w:spacing w:before="200" w:after="200"/>
        <w:jc w:val="both"/>
        <w:rPr>
          <w:sz w:val="20"/>
          <w:szCs w:val="20"/>
        </w:rPr>
      </w:pPr>
      <w:r>
        <w:t>In short, there are two volumes, one with basic concentration and the other one with acid. The concentration of one of them is unknown, the acid concentration.</w:t>
      </w:r>
    </w:p>
    <w:p w14:paraId="2E1DACE7" w14:textId="77777777" w:rsidR="00704181" w:rsidRDefault="00704181">
      <w:pPr>
        <w:widowControl w:val="0"/>
        <w:spacing w:line="240" w:lineRule="auto"/>
        <w:jc w:val="center"/>
        <w:rPr>
          <w:sz w:val="20"/>
          <w:szCs w:val="20"/>
        </w:rPr>
      </w:pPr>
    </w:p>
    <w:tbl>
      <w:tblPr>
        <w:tblStyle w:val="aa"/>
        <w:tblW w:w="9029" w:type="dxa"/>
        <w:tblInd w:w="0" w:type="dxa"/>
        <w:tblLayout w:type="fixed"/>
        <w:tblLook w:val="0600" w:firstRow="0" w:lastRow="0" w:firstColumn="0" w:lastColumn="0" w:noHBand="1" w:noVBand="1"/>
      </w:tblPr>
      <w:tblGrid>
        <w:gridCol w:w="9029"/>
      </w:tblGrid>
      <w:tr w:rsidR="00704181" w14:paraId="7457F951" w14:textId="77777777">
        <w:tc>
          <w:tcPr>
            <w:tcW w:w="9029" w:type="dxa"/>
            <w:shd w:val="clear" w:color="auto" w:fill="6AA84F"/>
            <w:tcMar>
              <w:top w:w="-13" w:type="dxa"/>
              <w:left w:w="-13" w:type="dxa"/>
              <w:bottom w:w="-13" w:type="dxa"/>
              <w:right w:w="-13" w:type="dxa"/>
            </w:tcMar>
          </w:tcPr>
          <w:p w14:paraId="437ED902" w14:textId="77777777" w:rsidR="00704181" w:rsidRDefault="00000000">
            <w:pPr>
              <w:pStyle w:val="Ttulo1"/>
              <w:spacing w:before="0" w:after="0"/>
              <w:jc w:val="center"/>
              <w:rPr>
                <w:b/>
                <w:color w:val="FFFFFF"/>
                <w:sz w:val="36"/>
                <w:szCs w:val="36"/>
              </w:rPr>
            </w:pPr>
            <w:bookmarkStart w:id="3" w:name="_heading=h.1fob9te" w:colFirst="0" w:colLast="0"/>
            <w:bookmarkEnd w:id="3"/>
            <w:r>
              <w:rPr>
                <w:b/>
                <w:color w:val="FFFFFF"/>
                <w:sz w:val="36"/>
                <w:szCs w:val="36"/>
              </w:rPr>
              <w:t>Educational cycle and estimated time</w:t>
            </w:r>
          </w:p>
        </w:tc>
      </w:tr>
    </w:tbl>
    <w:p w14:paraId="6E047F3A" w14:textId="77777777" w:rsidR="00704181" w:rsidRDefault="00000000">
      <w:pPr>
        <w:spacing w:before="200" w:after="200"/>
        <w:jc w:val="both"/>
      </w:pPr>
      <w:r>
        <w:t>Aimed at university students. It could be applicable to high school, but the activity supposes a high difficulty for this level. It lasts approximately a 2-hour session. There are three settings which last 15 minutes. Therefore, the part of the virtual experiment is 50 minutes and the rest, about 1 hour and 10 minutes to generate the graphs with the downloaded data and make the results and conclusions.</w:t>
      </w:r>
    </w:p>
    <w:p w14:paraId="3D91B601" w14:textId="77777777" w:rsidR="00704181" w:rsidRDefault="00704181">
      <w:pPr>
        <w:spacing w:before="200" w:after="200"/>
        <w:rPr>
          <w:sz w:val="24"/>
          <w:szCs w:val="24"/>
        </w:rPr>
      </w:pPr>
    </w:p>
    <w:tbl>
      <w:tblPr>
        <w:tblStyle w:val="ab"/>
        <w:tblW w:w="9029" w:type="dxa"/>
        <w:tblInd w:w="0" w:type="dxa"/>
        <w:tblLayout w:type="fixed"/>
        <w:tblLook w:val="0600" w:firstRow="0" w:lastRow="0" w:firstColumn="0" w:lastColumn="0" w:noHBand="1" w:noVBand="1"/>
      </w:tblPr>
      <w:tblGrid>
        <w:gridCol w:w="9029"/>
      </w:tblGrid>
      <w:tr w:rsidR="00704181" w14:paraId="0E29A9E2" w14:textId="77777777">
        <w:tc>
          <w:tcPr>
            <w:tcW w:w="9029" w:type="dxa"/>
            <w:shd w:val="clear" w:color="auto" w:fill="6AA84F"/>
            <w:tcMar>
              <w:top w:w="-13" w:type="dxa"/>
              <w:left w:w="-13" w:type="dxa"/>
              <w:bottom w:w="-13" w:type="dxa"/>
              <w:right w:w="-13" w:type="dxa"/>
            </w:tcMar>
          </w:tcPr>
          <w:p w14:paraId="1A00076D" w14:textId="77777777" w:rsidR="00704181" w:rsidRDefault="00000000">
            <w:pPr>
              <w:pStyle w:val="Ttulo1"/>
              <w:spacing w:before="0" w:after="0"/>
              <w:jc w:val="center"/>
              <w:rPr>
                <w:b/>
                <w:color w:val="FFFFFF"/>
                <w:sz w:val="36"/>
                <w:szCs w:val="36"/>
              </w:rPr>
            </w:pPr>
            <w:bookmarkStart w:id="4" w:name="_heading=h.3znysh7" w:colFirst="0" w:colLast="0"/>
            <w:bookmarkEnd w:id="4"/>
            <w:r>
              <w:rPr>
                <w:b/>
                <w:color w:val="FFFFFF"/>
                <w:sz w:val="36"/>
                <w:szCs w:val="36"/>
              </w:rPr>
              <w:t>Laboratory</w:t>
            </w:r>
          </w:p>
        </w:tc>
      </w:tr>
    </w:tbl>
    <w:p w14:paraId="6F66E8F0" w14:textId="77777777" w:rsidR="00704181" w:rsidRDefault="00000000">
      <w:pPr>
        <w:spacing w:before="200" w:after="200"/>
        <w:jc w:val="both"/>
      </w:pPr>
      <w:r>
        <w:t xml:space="preserve">The configuration of this experiment allows to select a titrant with a certain concentration and from this one can select between three available tests for the unknown sample. It is important to take into account that, in each trial shown, aliquots were taken from the same unknown sample and the variations in endpoints are expected to be different. </w:t>
      </w:r>
      <w:proofErr w:type="gramStart"/>
      <w:r>
        <w:t>So</w:t>
      </w:r>
      <w:proofErr w:type="gramEnd"/>
      <w:r>
        <w:t xml:space="preserve"> it is recommended to carry out the three trials of the experiment in order to carry out a statistical analysis that allows enriching the experience.</w:t>
      </w:r>
    </w:p>
    <w:p w14:paraId="5A0334F9" w14:textId="77777777" w:rsidR="00704181" w:rsidRDefault="00000000">
      <w:pPr>
        <w:spacing w:before="200" w:after="200"/>
        <w:rPr>
          <w:b/>
          <w:sz w:val="24"/>
          <w:szCs w:val="24"/>
          <w:u w:val="single"/>
        </w:rPr>
      </w:pPr>
      <w:r>
        <w:rPr>
          <w:b/>
          <w:sz w:val="24"/>
          <w:szCs w:val="24"/>
          <w:u w:val="single"/>
        </w:rPr>
        <w:t>Data processing and calculation example</w:t>
      </w:r>
    </w:p>
    <w:p w14:paraId="481422FA" w14:textId="77777777" w:rsidR="00704181" w:rsidRDefault="00000000">
      <w:pPr>
        <w:spacing w:before="200" w:after="200"/>
        <w:jc w:val="both"/>
      </w:pPr>
      <w:r>
        <w:t>In this experiment it is desired to determine a sample of citric acid whose concentration is unknown. For this, sodium hydroxide is used as a titrant ([NaOH]=0.065 0.002 mol/L), and phenolphthalein as an indicator.</w:t>
      </w:r>
    </w:p>
    <w:p w14:paraId="478EA796" w14:textId="77777777" w:rsidR="00704181" w:rsidRDefault="00000000">
      <w:pPr>
        <w:spacing w:before="200" w:after="200"/>
        <w:jc w:val="both"/>
      </w:pPr>
      <w:r>
        <w:t xml:space="preserve">In </w:t>
      </w:r>
      <w:r>
        <w:rPr>
          <w:b/>
        </w:rPr>
        <w:t>Figure 1</w:t>
      </w:r>
      <w:r>
        <w:t>, the volume of 5.179 mL is observed, this is when the colorless solution turns pinkish, that is, the turning point occurs at that volume.</w:t>
      </w:r>
    </w:p>
    <w:p w14:paraId="46C00C5E" w14:textId="77777777" w:rsidR="00704181" w:rsidRDefault="00000000">
      <w:pPr>
        <w:spacing w:line="360" w:lineRule="auto"/>
        <w:jc w:val="center"/>
      </w:pPr>
      <w:r>
        <w:rPr>
          <w:noProof/>
          <w:sz w:val="24"/>
          <w:szCs w:val="24"/>
        </w:rPr>
        <w:drawing>
          <wp:inline distT="0" distB="0" distL="0" distR="0" wp14:anchorId="5386E930" wp14:editId="79ACC986">
            <wp:extent cx="5381625" cy="1473905"/>
            <wp:effectExtent l="0" t="0" r="0" b="0"/>
            <wp:docPr id="44" name="image7.png" descr="Imagen que contiene interior, electrónica, pequeño,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interior, electrónica, pequeño, computadora&#10;&#10;Descripción generada automáticamente"/>
                    <pic:cNvPicPr preferRelativeResize="0"/>
                  </pic:nvPicPr>
                  <pic:blipFill>
                    <a:blip r:embed="rId10"/>
                    <a:srcRect l="1867" t="10296" r="2206" b="4545"/>
                    <a:stretch>
                      <a:fillRect/>
                    </a:stretch>
                  </pic:blipFill>
                  <pic:spPr>
                    <a:xfrm>
                      <a:off x="0" y="0"/>
                      <a:ext cx="5381625" cy="147390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74BC19E1" wp14:editId="6F39C4D9">
                <wp:simplePos x="0" y="0"/>
                <wp:positionH relativeFrom="column">
                  <wp:posOffset>914400</wp:posOffset>
                </wp:positionH>
                <wp:positionV relativeFrom="paragraph">
                  <wp:posOffset>736600</wp:posOffset>
                </wp:positionV>
                <wp:extent cx="823099" cy="333375"/>
                <wp:effectExtent l="0" t="0" r="0" b="0"/>
                <wp:wrapNone/>
                <wp:docPr id="32" name="Elipse 32"/>
                <wp:cNvGraphicFramePr/>
                <a:graphic xmlns:a="http://schemas.openxmlformats.org/drawingml/2006/main">
                  <a:graphicData uri="http://schemas.microsoft.com/office/word/2010/wordprocessingShape">
                    <wps:wsp>
                      <wps:cNvSpPr/>
                      <wps:spPr>
                        <a:xfrm>
                          <a:off x="4844350" y="3606010"/>
                          <a:ext cx="1003300" cy="347980"/>
                        </a:xfrm>
                        <a:prstGeom prst="ellipse">
                          <a:avLst/>
                        </a:prstGeom>
                        <a:noFill/>
                        <a:ln w="38100" cap="flat" cmpd="sng">
                          <a:solidFill>
                            <a:srgbClr val="FF0000"/>
                          </a:solidFill>
                          <a:prstDash val="solid"/>
                          <a:miter lim="800000"/>
                          <a:headEnd type="none" w="sm" len="sm"/>
                          <a:tailEnd type="none" w="sm" len="sm"/>
                        </a:ln>
                      </wps:spPr>
                      <wps:txbx>
                        <w:txbxContent>
                          <w:p w14:paraId="56A12F42" w14:textId="77777777" w:rsidR="00704181" w:rsidRDefault="0070418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4BC19E1" id="Elipse 32" o:spid="_x0000_s1026" style="position:absolute;left:0;text-align:left;margin-left:1in;margin-top:58pt;width:64.8pt;height:2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" filled="f" strokecolor="red" strokeweight="3pt">
                <v:stroke startarrowwidth="narrow" startarrowlength="short" endarrowwidth="narrow" endarrowlength="short" joinstyle="miter"/>
                <v:textbox inset="2.53958mm,2.53958mm,2.53958mm,2.53958mm">
                  <w:txbxContent>
                    <w:p w14:paraId="56A12F42" w14:textId="77777777" w:rsidR="00704181" w:rsidRDefault="00704181">
                      <w:pPr>
                        <w:spacing w:line="240" w:lineRule="auto"/>
                        <w:textDirection w:val="btLr"/>
                      </w:pPr>
                    </w:p>
                  </w:txbxContent>
                </v:textbox>
              </v:oval>
            </w:pict>
          </mc:Fallback>
        </mc:AlternateContent>
      </w:r>
      <w:r>
        <w:rPr>
          <w:noProof/>
        </w:rPr>
        <mc:AlternateContent>
          <mc:Choice Requires="wpg">
            <w:drawing>
              <wp:anchor distT="0" distB="0" distL="114300" distR="114300" simplePos="0" relativeHeight="251661312" behindDoc="0" locked="0" layoutInCell="1" hidden="0" allowOverlap="1" wp14:anchorId="16419945" wp14:editId="6DA196D9">
                <wp:simplePos x="0" y="0"/>
                <wp:positionH relativeFrom="column">
                  <wp:posOffset>4356100</wp:posOffset>
                </wp:positionH>
                <wp:positionV relativeFrom="paragraph">
                  <wp:posOffset>736600</wp:posOffset>
                </wp:positionV>
                <wp:extent cx="525780" cy="342900"/>
                <wp:effectExtent l="0" t="0" r="0" b="0"/>
                <wp:wrapNone/>
                <wp:docPr id="31" name="Conector recto de flecha 31"/>
                <wp:cNvGraphicFramePr/>
                <a:graphic xmlns:a="http://schemas.openxmlformats.org/drawingml/2006/main">
                  <a:graphicData uri="http://schemas.microsoft.com/office/word/2010/wordprocessingShape">
                    <wps:wsp>
                      <wps:cNvCnPr/>
                      <wps:spPr>
                        <a:xfrm rot="10800000" flipH="1">
                          <a:off x="5121210" y="3646650"/>
                          <a:ext cx="449580" cy="266700"/>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736600</wp:posOffset>
                </wp:positionV>
                <wp:extent cx="525780" cy="342900"/>
                <wp:effectExtent b="0" l="0" r="0" t="0"/>
                <wp:wrapNone/>
                <wp:docPr id="31"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525780" cy="3429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6B24F82B" wp14:editId="045174D9">
                <wp:simplePos x="0" y="0"/>
                <wp:positionH relativeFrom="column">
                  <wp:posOffset>2971800</wp:posOffset>
                </wp:positionH>
                <wp:positionV relativeFrom="paragraph">
                  <wp:posOffset>1155700</wp:posOffset>
                </wp:positionV>
                <wp:extent cx="1466850" cy="300990"/>
                <wp:effectExtent l="0" t="0" r="0" b="0"/>
                <wp:wrapNone/>
                <wp:docPr id="34" name="Rectángulo 34"/>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68E2E667" w14:textId="77777777" w:rsidR="00704181" w:rsidRDefault="00000000">
                            <w:pPr>
                              <w:spacing w:line="240" w:lineRule="auto"/>
                              <w:textDirection w:val="btLr"/>
                            </w:pPr>
                            <w:proofErr w:type="spellStart"/>
                            <w:r>
                              <w:rPr>
                                <w:rFonts w:ascii="Calibri" w:eastAsia="Calibri" w:hAnsi="Calibri" w:cs="Calibri"/>
                                <w:color w:val="000000"/>
                                <w:sz w:val="24"/>
                              </w:rPr>
                              <w:t>Viraje</w:t>
                            </w:r>
                            <w:proofErr w:type="spellEnd"/>
                            <w:r>
                              <w:rPr>
                                <w:rFonts w:ascii="Calibri" w:eastAsia="Calibri" w:hAnsi="Calibri" w:cs="Calibri"/>
                                <w:color w:val="000000"/>
                                <w:sz w:val="24"/>
                              </w:rPr>
                              <w:t xml:space="preserve"> del </w:t>
                            </w:r>
                            <w:proofErr w:type="spellStart"/>
                            <w:r>
                              <w:rPr>
                                <w:rFonts w:ascii="Calibri" w:eastAsia="Calibri" w:hAnsi="Calibri" w:cs="Calibri"/>
                                <w:color w:val="000000"/>
                                <w:sz w:val="24"/>
                              </w:rPr>
                              <w:t>indicador</w:t>
                            </w:r>
                            <w:proofErr w:type="spellEnd"/>
                          </w:p>
                        </w:txbxContent>
                      </wps:txbx>
                      <wps:bodyPr spcFirstLastPara="1" wrap="square" lIns="91425" tIns="45700" rIns="91425" bIns="45700" anchor="t" anchorCtr="0">
                        <a:noAutofit/>
                      </wps:bodyPr>
                    </wps:wsp>
                  </a:graphicData>
                </a:graphic>
              </wp:anchor>
            </w:drawing>
          </mc:Choice>
          <mc:Fallback>
            <w:pict>
              <v:rect w14:anchorId="6B24F82B" id="Rectángulo 34" o:spid="_x0000_s1027" style="position:absolute;left:0;text-align:left;margin-left:234pt;margin-top:91pt;width:115.5pt;height:23.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" fillcolor="white [3201]">
                <v:stroke startarrowwidth="narrow" startarrowlength="short" endarrowwidth="narrow" endarrowlength="short" joinstyle="round"/>
                <v:textbox inset="2.53958mm,1.2694mm,2.53958mm,1.2694mm">
                  <w:txbxContent>
                    <w:p w14:paraId="68E2E667" w14:textId="77777777" w:rsidR="00704181" w:rsidRDefault="00000000">
                      <w:pPr>
                        <w:spacing w:line="240" w:lineRule="auto"/>
                        <w:textDirection w:val="btLr"/>
                      </w:pPr>
                      <w:proofErr w:type="spellStart"/>
                      <w:r>
                        <w:rPr>
                          <w:rFonts w:ascii="Calibri" w:eastAsia="Calibri" w:hAnsi="Calibri" w:cs="Calibri"/>
                          <w:color w:val="000000"/>
                          <w:sz w:val="24"/>
                        </w:rPr>
                        <w:t>Viraje</w:t>
                      </w:r>
                      <w:proofErr w:type="spellEnd"/>
                      <w:r>
                        <w:rPr>
                          <w:rFonts w:ascii="Calibri" w:eastAsia="Calibri" w:hAnsi="Calibri" w:cs="Calibri"/>
                          <w:color w:val="000000"/>
                          <w:sz w:val="24"/>
                        </w:rPr>
                        <w:t xml:space="preserve"> del </w:t>
                      </w:r>
                      <w:proofErr w:type="spellStart"/>
                      <w:r>
                        <w:rPr>
                          <w:rFonts w:ascii="Calibri" w:eastAsia="Calibri" w:hAnsi="Calibri" w:cs="Calibri"/>
                          <w:color w:val="000000"/>
                          <w:sz w:val="24"/>
                        </w:rPr>
                        <w:t>indicador</w:t>
                      </w:r>
                      <w:proofErr w:type="spellEnd"/>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43FC599C" wp14:editId="43069907">
                <wp:simplePos x="0" y="0"/>
                <wp:positionH relativeFrom="column">
                  <wp:posOffset>1308100</wp:posOffset>
                </wp:positionH>
                <wp:positionV relativeFrom="paragraph">
                  <wp:posOffset>1155700</wp:posOffset>
                </wp:positionV>
                <wp:extent cx="1466850" cy="300990"/>
                <wp:effectExtent l="0" t="0" r="0" b="0"/>
                <wp:wrapNone/>
                <wp:docPr id="33" name="Rectángulo 33"/>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251597D5" w14:textId="77777777" w:rsidR="00704181" w:rsidRDefault="00000000">
                            <w:pPr>
                              <w:spacing w:line="240" w:lineRule="auto"/>
                              <w:textDirection w:val="btLr"/>
                            </w:pPr>
                            <w:proofErr w:type="spellStart"/>
                            <w:r>
                              <w:rPr>
                                <w:rFonts w:ascii="Calibri" w:eastAsia="Calibri" w:hAnsi="Calibri" w:cs="Calibri"/>
                                <w:color w:val="000000"/>
                                <w:sz w:val="24"/>
                              </w:rPr>
                              <w:t>Volumen</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reportado</w:t>
                            </w:r>
                            <w:proofErr w:type="spellEnd"/>
                          </w:p>
                        </w:txbxContent>
                      </wps:txbx>
                      <wps:bodyPr spcFirstLastPara="1" wrap="square" lIns="91425" tIns="45700" rIns="91425" bIns="45700" anchor="t" anchorCtr="0">
                        <a:noAutofit/>
                      </wps:bodyPr>
                    </wps:wsp>
                  </a:graphicData>
                </a:graphic>
              </wp:anchor>
            </w:drawing>
          </mc:Choice>
          <mc:Fallback>
            <w:pict>
              <v:rect w14:anchorId="43FC599C" id="Rectángulo 33" o:spid="_x0000_s1028" style="position:absolute;left:0;text-align:left;margin-left:103pt;margin-top:91pt;width:115.5pt;height:23.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" fillcolor="white [3201]">
                <v:stroke startarrowwidth="narrow" startarrowlength="short" endarrowwidth="narrow" endarrowlength="short" joinstyle="round"/>
                <v:textbox inset="2.53958mm,1.2694mm,2.53958mm,1.2694mm">
                  <w:txbxContent>
                    <w:p w14:paraId="251597D5" w14:textId="77777777" w:rsidR="00704181" w:rsidRDefault="00000000">
                      <w:pPr>
                        <w:spacing w:line="240" w:lineRule="auto"/>
                        <w:textDirection w:val="btLr"/>
                      </w:pPr>
                      <w:proofErr w:type="spellStart"/>
                      <w:r>
                        <w:rPr>
                          <w:rFonts w:ascii="Calibri" w:eastAsia="Calibri" w:hAnsi="Calibri" w:cs="Calibri"/>
                          <w:color w:val="000000"/>
                          <w:sz w:val="24"/>
                        </w:rPr>
                        <w:t>Volumen</w:t>
                      </w:r>
                      <w:proofErr w:type="spellEnd"/>
                      <w:r>
                        <w:rPr>
                          <w:rFonts w:ascii="Calibri" w:eastAsia="Calibri" w:hAnsi="Calibri" w:cs="Calibri"/>
                          <w:color w:val="000000"/>
                          <w:sz w:val="24"/>
                        </w:rPr>
                        <w:t xml:space="preserve"> </w:t>
                      </w:r>
                      <w:proofErr w:type="spellStart"/>
                      <w:r>
                        <w:rPr>
                          <w:rFonts w:ascii="Calibri" w:eastAsia="Calibri" w:hAnsi="Calibri" w:cs="Calibri"/>
                          <w:color w:val="000000"/>
                          <w:sz w:val="24"/>
                        </w:rPr>
                        <w:t>reportado</w:t>
                      </w:r>
                      <w:proofErr w:type="spellEnd"/>
                    </w:p>
                  </w:txbxContent>
                </v:textbox>
              </v:rect>
            </w:pict>
          </mc:Fallback>
        </mc:AlternateContent>
      </w:r>
    </w:p>
    <w:p w14:paraId="50A75B0C" w14:textId="77777777" w:rsidR="00704181" w:rsidRDefault="00000000">
      <w:pPr>
        <w:spacing w:before="200" w:after="200"/>
        <w:jc w:val="both"/>
        <w:rPr>
          <w:sz w:val="18"/>
          <w:szCs w:val="18"/>
        </w:rPr>
      </w:pPr>
      <w:r>
        <w:rPr>
          <w:b/>
          <w:sz w:val="18"/>
          <w:szCs w:val="18"/>
        </w:rPr>
        <w:t xml:space="preserve">Figure 1. </w:t>
      </w:r>
      <w:r>
        <w:rPr>
          <w:sz w:val="18"/>
          <w:szCs w:val="18"/>
        </w:rPr>
        <w:t>[Left] pH meter and volume poured into the beaker. [Right] Burette with the standard substance and beaker with the analyte substance and the phenolphthalein indicator.</w:t>
      </w:r>
    </w:p>
    <w:p w14:paraId="3F5CC096" w14:textId="0BE8BF9B" w:rsidR="00704181" w:rsidRDefault="00000000">
      <w:pPr>
        <w:spacing w:before="200" w:after="200"/>
        <w:jc w:val="both"/>
      </w:pPr>
      <w:r>
        <w:lastRenderedPageBreak/>
        <w:t xml:space="preserve">Applying </w:t>
      </w:r>
      <w:r>
        <w:rPr>
          <w:b/>
        </w:rPr>
        <w:t xml:space="preserve">Eq. </w:t>
      </w:r>
      <w:r w:rsidR="00664CB9">
        <w:rPr>
          <w:b/>
        </w:rPr>
        <w:t>1,</w:t>
      </w:r>
      <w:r>
        <w:t xml:space="preserve"> the unknown concentration value for the acid of interest can be obtained:</w:t>
      </w:r>
    </w:p>
    <w:p w14:paraId="6455238A" w14:textId="77777777" w:rsidR="00704181" w:rsidRDefault="00000000">
      <w:pPr>
        <w:spacing w:before="200" w:after="200"/>
        <w:jc w:val="center"/>
      </w:pPr>
      <m:oMathPara>
        <m:oMath>
          <m:r>
            <w:rPr>
              <w:rFonts w:ascii="Cambria Math" w:hAnsi="Cambria Math"/>
            </w:rPr>
            <m:t xml:space="preserve">[AcCítr] =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NaOH</m:t>
                  </m:r>
                </m:sub>
              </m:sSub>
              <m:r>
                <w:rPr>
                  <w:rFonts w:ascii="Cambria Math" w:hAnsi="Cambria Math"/>
                </w:rPr>
                <m:t>· [NaOH]</m:t>
              </m:r>
            </m:num>
            <m:den>
              <m:sSub>
                <m:sSubPr>
                  <m:ctrlPr>
                    <w:rPr>
                      <w:rFonts w:ascii="Cambria Math" w:hAnsi="Cambria Math"/>
                    </w:rPr>
                  </m:ctrlPr>
                </m:sSubPr>
                <m:e>
                  <m:r>
                    <w:rPr>
                      <w:rFonts w:ascii="Cambria Math" w:hAnsi="Cambria Math"/>
                    </w:rPr>
                    <m:t>V</m:t>
                  </m:r>
                </m:e>
                <m:sub>
                  <m:r>
                    <w:rPr>
                      <w:rFonts w:ascii="Cambria Math" w:hAnsi="Cambria Math"/>
                    </w:rPr>
                    <m:t>alícuota</m:t>
                  </m:r>
                </m:sub>
              </m:sSub>
            </m:den>
          </m:f>
        </m:oMath>
      </m:oMathPara>
    </w:p>
    <w:p w14:paraId="3141584C" w14:textId="77777777" w:rsidR="00704181" w:rsidRDefault="00000000">
      <w:pPr>
        <w:spacing w:before="200" w:after="200"/>
        <w:jc w:val="center"/>
        <w:rPr>
          <w:b/>
          <w:i/>
        </w:rPr>
      </w:pPr>
      <m:oMath>
        <m:r>
          <w:rPr>
            <w:rFonts w:ascii="Cambria Math" w:hAnsi="Cambria Math"/>
          </w:rPr>
          <m:t xml:space="preserve">[AcCítr] = </m:t>
        </m:r>
        <m:f>
          <m:fPr>
            <m:ctrlPr>
              <w:rPr>
                <w:rFonts w:ascii="Cambria Math" w:hAnsi="Cambria Math"/>
              </w:rPr>
            </m:ctrlPr>
          </m:fPr>
          <m:num>
            <m:r>
              <w:rPr>
                <w:rFonts w:ascii="Cambria Math" w:hAnsi="Cambria Math"/>
              </w:rPr>
              <m:t>5.179 mL· 0,065 M</m:t>
            </m:r>
          </m:num>
          <m:den>
            <m:r>
              <w:rPr>
                <w:rFonts w:ascii="Cambria Math" w:hAnsi="Cambria Math"/>
              </w:rPr>
              <m:t>10 mL</m:t>
            </m:r>
          </m:den>
        </m:f>
      </m:oMath>
      <w:r>
        <w:t>=</w:t>
      </w:r>
      <w:r>
        <w:rPr>
          <w:b/>
        </w:rPr>
        <w:t xml:space="preserve"> 0.034M </w:t>
      </w:r>
    </w:p>
    <w:p w14:paraId="32E53C6B" w14:textId="77777777" w:rsidR="00704181" w:rsidRDefault="00704181">
      <w:pPr>
        <w:spacing w:before="200" w:after="200"/>
        <w:rPr>
          <w:b/>
          <w:sz w:val="24"/>
          <w:szCs w:val="24"/>
          <w:u w:val="single"/>
        </w:rPr>
      </w:pPr>
    </w:p>
    <w:p w14:paraId="1F4BA26D" w14:textId="77777777" w:rsidR="00704181" w:rsidRDefault="00000000">
      <w:pPr>
        <w:spacing w:before="200" w:after="200"/>
        <w:jc w:val="both"/>
        <w:rPr>
          <w:b/>
          <w:sz w:val="24"/>
          <w:szCs w:val="24"/>
          <w:u w:val="single"/>
        </w:rPr>
      </w:pPr>
      <w:r>
        <w:rPr>
          <w:b/>
          <w:sz w:val="24"/>
          <w:szCs w:val="24"/>
          <w:u w:val="single"/>
        </w:rPr>
        <w:t>Graph design and equivalence point estimation</w:t>
      </w:r>
    </w:p>
    <w:p w14:paraId="33A2E300" w14:textId="77777777" w:rsidR="00704181" w:rsidRDefault="00000000">
      <w:pPr>
        <w:spacing w:before="200" w:after="200"/>
        <w:jc w:val="both"/>
      </w:pPr>
      <w:r>
        <w:t>Below is a sample of how to build the graph corresponding to the acid-base titration process and the calculation of the equivalence point from the values obtained in the experiment.</w:t>
      </w:r>
    </w:p>
    <w:p w14:paraId="0AEB41B5" w14:textId="769F807C" w:rsidR="00704181" w:rsidRDefault="00000000">
      <w:pPr>
        <w:spacing w:before="200" w:after="200"/>
        <w:jc w:val="both"/>
      </w:pPr>
      <w:r>
        <w:t>As drops are poured, both volume and pH values are recorded, violet and blue columns, respectively (</w:t>
      </w:r>
      <w:r>
        <w:rPr>
          <w:b/>
        </w:rPr>
        <w:t>Figure</w:t>
      </w:r>
      <w:r>
        <w:t xml:space="preserve"> </w:t>
      </w:r>
      <w:r>
        <w:rPr>
          <w:b/>
        </w:rPr>
        <w:t>2</w:t>
      </w:r>
      <w:r>
        <w:t xml:space="preserve">). To create the </w:t>
      </w:r>
      <w:r w:rsidR="00664CB9">
        <w:t>graph,</w:t>
      </w:r>
      <w:r>
        <w:t xml:space="preserve"> it is necessary to look for the option “Insert” and then “Scatter graph” marking the two previous columns.</w:t>
      </w:r>
    </w:p>
    <w:p w14:paraId="7E4473E6" w14:textId="77777777" w:rsidR="00704181" w:rsidRDefault="00000000">
      <w:pPr>
        <w:spacing w:line="360" w:lineRule="auto"/>
        <w:jc w:val="both"/>
      </w:pPr>
      <w:r>
        <w:rPr>
          <w:noProof/>
          <w:sz w:val="24"/>
          <w:szCs w:val="24"/>
        </w:rPr>
        <w:drawing>
          <wp:inline distT="0" distB="0" distL="0" distR="0" wp14:anchorId="6F2975D6" wp14:editId="249A79D8">
            <wp:extent cx="5610225" cy="2764950"/>
            <wp:effectExtent l="0" t="0" r="0" b="0"/>
            <wp:docPr id="43" name="image9.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Una captura de pantalla de una red social&#10;&#10;Descripción generada automáticamente"/>
                    <pic:cNvPicPr preferRelativeResize="0"/>
                  </pic:nvPicPr>
                  <pic:blipFill>
                    <a:blip r:embed="rId12"/>
                    <a:srcRect t="15121"/>
                    <a:stretch>
                      <a:fillRect/>
                    </a:stretch>
                  </pic:blipFill>
                  <pic:spPr>
                    <a:xfrm>
                      <a:off x="0" y="0"/>
                      <a:ext cx="5610225" cy="2764950"/>
                    </a:xfrm>
                    <a:prstGeom prst="rect">
                      <a:avLst/>
                    </a:prstGeom>
                    <a:ln/>
                  </pic:spPr>
                </pic:pic>
              </a:graphicData>
            </a:graphic>
          </wp:inline>
        </w:drawing>
      </w:r>
    </w:p>
    <w:p w14:paraId="231F32C5" w14:textId="77777777" w:rsidR="00704181" w:rsidRDefault="00000000">
      <w:pPr>
        <w:spacing w:before="200" w:after="200"/>
      </w:pPr>
      <w:r>
        <w:rPr>
          <w:b/>
          <w:sz w:val="18"/>
          <w:szCs w:val="18"/>
        </w:rPr>
        <w:t xml:space="preserve">Figure 2. </w:t>
      </w:r>
      <w:r>
        <w:rPr>
          <w:sz w:val="18"/>
          <w:szCs w:val="18"/>
        </w:rPr>
        <w:t>Graphical representation of the pH with respect to the volume discharged.</w:t>
      </w:r>
    </w:p>
    <w:p w14:paraId="7EEB7EE9" w14:textId="77777777" w:rsidR="00704181" w:rsidRDefault="00704181">
      <w:pPr>
        <w:spacing w:before="200" w:after="200"/>
        <w:jc w:val="both"/>
      </w:pPr>
    </w:p>
    <w:p w14:paraId="2B70BE8F" w14:textId="123C42BE" w:rsidR="00704181" w:rsidRDefault="00000000">
      <w:pPr>
        <w:spacing w:before="200" w:after="200"/>
        <w:jc w:val="both"/>
      </w:pPr>
      <w:r>
        <w:t>Then a line must be formed that passes through most of the points on the inflection zone produced by the sudden change in pH (</w:t>
      </w:r>
      <w:r>
        <w:rPr>
          <w:b/>
        </w:rPr>
        <w:t>Figure 3</w:t>
      </w:r>
      <w:r>
        <w:t xml:space="preserve">). Next, draw a rectangle that touches as many of the sections before and after the inflection point of the graph. Then, it must be reduced until two of its vertices touch the line at their joining point, causing the vertex to pass over the initial line. Finally, you </w:t>
      </w:r>
      <w:r w:rsidR="00664CB9">
        <w:t>must</w:t>
      </w:r>
      <w:r>
        <w:t xml:space="preserve"> draw a line that passes through the other two remaining vertices of the rectangle, in such a way that it forms an "X" between the two drawn lines. The intersection point of the lines indicates the volume corresponding to the equivalence point.</w:t>
      </w:r>
    </w:p>
    <w:p w14:paraId="1F4B4EFD" w14:textId="77777777" w:rsidR="00704181" w:rsidRDefault="00000000">
      <w:pPr>
        <w:spacing w:line="360" w:lineRule="auto"/>
        <w:jc w:val="center"/>
        <w:rPr>
          <w:sz w:val="24"/>
          <w:szCs w:val="24"/>
        </w:rPr>
      </w:pPr>
      <w:r>
        <w:rPr>
          <w:noProof/>
          <w:sz w:val="24"/>
          <w:szCs w:val="24"/>
        </w:rPr>
        <w:lastRenderedPageBreak/>
        <w:drawing>
          <wp:inline distT="0" distB="0" distL="0" distR="0" wp14:anchorId="55412AE9" wp14:editId="40180583">
            <wp:extent cx="2835113" cy="2341629"/>
            <wp:effectExtent l="0" t="0" r="0" b="0"/>
            <wp:docPr id="46" name="image3.png" descr="Una 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Una captura de pantalla de un celular&#10;&#10;Descripción generada automáticamente"/>
                    <pic:cNvPicPr preferRelativeResize="0"/>
                  </pic:nvPicPr>
                  <pic:blipFill>
                    <a:blip r:embed="rId13"/>
                    <a:srcRect/>
                    <a:stretch>
                      <a:fillRect/>
                    </a:stretch>
                  </pic:blipFill>
                  <pic:spPr>
                    <a:xfrm>
                      <a:off x="0" y="0"/>
                      <a:ext cx="2835113" cy="2341629"/>
                    </a:xfrm>
                    <a:prstGeom prst="rect">
                      <a:avLst/>
                    </a:prstGeom>
                    <a:ln/>
                  </pic:spPr>
                </pic:pic>
              </a:graphicData>
            </a:graphic>
          </wp:inline>
        </w:drawing>
      </w:r>
      <w:r>
        <w:rPr>
          <w:sz w:val="24"/>
          <w:szCs w:val="24"/>
        </w:rPr>
        <w:t xml:space="preserve"> </w:t>
      </w:r>
      <w:r>
        <w:rPr>
          <w:noProof/>
          <w:sz w:val="24"/>
          <w:szCs w:val="24"/>
        </w:rPr>
        <w:drawing>
          <wp:inline distT="0" distB="0" distL="0" distR="0" wp14:anchorId="74983666" wp14:editId="0E6BCFA8">
            <wp:extent cx="2693193" cy="2331562"/>
            <wp:effectExtent l="0" t="0" r="0" b="0"/>
            <wp:docPr id="45" name="image13.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magen que contiene texto, mapa&#10;&#10;Descripción generada automáticamente"/>
                    <pic:cNvPicPr preferRelativeResize="0"/>
                  </pic:nvPicPr>
                  <pic:blipFill>
                    <a:blip r:embed="rId14"/>
                    <a:srcRect/>
                    <a:stretch>
                      <a:fillRect/>
                    </a:stretch>
                  </pic:blipFill>
                  <pic:spPr>
                    <a:xfrm>
                      <a:off x="0" y="0"/>
                      <a:ext cx="2693193" cy="2331562"/>
                    </a:xfrm>
                    <a:prstGeom prst="rect">
                      <a:avLst/>
                    </a:prstGeom>
                    <a:ln/>
                  </pic:spPr>
                </pic:pic>
              </a:graphicData>
            </a:graphic>
          </wp:inline>
        </w:drawing>
      </w:r>
      <w:r>
        <w:rPr>
          <w:sz w:val="24"/>
          <w:szCs w:val="24"/>
        </w:rPr>
        <w:t xml:space="preserve"> </w:t>
      </w:r>
      <w:r>
        <w:rPr>
          <w:noProof/>
          <w:sz w:val="24"/>
          <w:szCs w:val="24"/>
        </w:rPr>
        <w:drawing>
          <wp:inline distT="0" distB="0" distL="0" distR="0" wp14:anchorId="590A2963" wp14:editId="75E28E22">
            <wp:extent cx="2806538" cy="2338781"/>
            <wp:effectExtent l="0" t="0" r="0" b="0"/>
            <wp:docPr id="48" name="image15.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Imagen que contiene texto, mapa&#10;&#10;Descripción generada automáticamente"/>
                    <pic:cNvPicPr preferRelativeResize="0"/>
                  </pic:nvPicPr>
                  <pic:blipFill>
                    <a:blip r:embed="rId15"/>
                    <a:srcRect/>
                    <a:stretch>
                      <a:fillRect/>
                    </a:stretch>
                  </pic:blipFill>
                  <pic:spPr>
                    <a:xfrm>
                      <a:off x="0" y="0"/>
                      <a:ext cx="2806538" cy="2338781"/>
                    </a:xfrm>
                    <a:prstGeom prst="rect">
                      <a:avLst/>
                    </a:prstGeom>
                    <a:ln/>
                  </pic:spPr>
                </pic:pic>
              </a:graphicData>
            </a:graphic>
          </wp:inline>
        </w:drawing>
      </w:r>
      <w:r>
        <w:rPr>
          <w:noProof/>
          <w:sz w:val="24"/>
          <w:szCs w:val="24"/>
        </w:rPr>
        <w:drawing>
          <wp:inline distT="114300" distB="114300" distL="114300" distR="114300" wp14:anchorId="0F73A005" wp14:editId="61CEA86C">
            <wp:extent cx="4173375" cy="2248002"/>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173375" cy="2248002"/>
                    </a:xfrm>
                    <a:prstGeom prst="rect">
                      <a:avLst/>
                    </a:prstGeom>
                    <a:ln/>
                  </pic:spPr>
                </pic:pic>
              </a:graphicData>
            </a:graphic>
          </wp:inline>
        </w:drawing>
      </w:r>
    </w:p>
    <w:p w14:paraId="27220DFD" w14:textId="77777777" w:rsidR="00704181" w:rsidRDefault="00704181">
      <w:pPr>
        <w:spacing w:line="360" w:lineRule="auto"/>
        <w:jc w:val="both"/>
        <w:rPr>
          <w:sz w:val="24"/>
          <w:szCs w:val="24"/>
        </w:rPr>
      </w:pPr>
    </w:p>
    <w:p w14:paraId="607F60B9" w14:textId="77777777" w:rsidR="00704181" w:rsidRDefault="00000000">
      <w:pPr>
        <w:spacing w:before="200" w:after="200"/>
        <w:jc w:val="both"/>
        <w:rPr>
          <w:sz w:val="18"/>
          <w:szCs w:val="18"/>
        </w:rPr>
      </w:pPr>
      <w:r>
        <w:rPr>
          <w:b/>
          <w:sz w:val="18"/>
          <w:szCs w:val="18"/>
        </w:rPr>
        <w:t xml:space="preserve">Figure 3. </w:t>
      </w:r>
      <w:r>
        <w:rPr>
          <w:sz w:val="18"/>
          <w:szCs w:val="18"/>
        </w:rPr>
        <w:t>Order to follow to find the intersection that indicates the volume where the equivalence point occurs.</w:t>
      </w:r>
    </w:p>
    <w:p w14:paraId="11AE93CB" w14:textId="77777777" w:rsidR="00704181" w:rsidRDefault="00704181">
      <w:pPr>
        <w:spacing w:before="200" w:after="200"/>
        <w:jc w:val="both"/>
      </w:pPr>
    </w:p>
    <w:p w14:paraId="71688C83" w14:textId="77777777" w:rsidR="00704181" w:rsidRDefault="00704181">
      <w:pPr>
        <w:spacing w:before="200" w:after="200"/>
        <w:jc w:val="both"/>
        <w:rPr>
          <w:b/>
          <w:sz w:val="24"/>
          <w:szCs w:val="24"/>
          <w:u w:val="single"/>
        </w:rPr>
      </w:pPr>
    </w:p>
    <w:p w14:paraId="52E37F84" w14:textId="77777777" w:rsidR="00704181" w:rsidRDefault="00000000">
      <w:pPr>
        <w:spacing w:before="200" w:after="200"/>
        <w:jc w:val="both"/>
        <w:rPr>
          <w:b/>
          <w:sz w:val="24"/>
          <w:szCs w:val="24"/>
          <w:u w:val="single"/>
        </w:rPr>
      </w:pPr>
      <w:r>
        <w:rPr>
          <w:b/>
          <w:sz w:val="24"/>
          <w:szCs w:val="24"/>
          <w:u w:val="single"/>
        </w:rPr>
        <w:lastRenderedPageBreak/>
        <w:t>First derivative method to estimate the equivalence point</w:t>
      </w:r>
    </w:p>
    <w:p w14:paraId="7C9FC397" w14:textId="77777777" w:rsidR="00704181" w:rsidRDefault="00000000">
      <w:pPr>
        <w:spacing w:line="360" w:lineRule="auto"/>
        <w:jc w:val="both"/>
      </w:pPr>
      <w:sdt>
        <w:sdtPr>
          <w:tag w:val="goog_rdk_0"/>
          <w:id w:val="1127434457"/>
        </w:sdtPr>
        <w:sdtContent>
          <w:r>
            <w:rPr>
              <w:rFonts w:ascii="Arial Unicode MS" w:eastAsia="Arial Unicode MS" w:hAnsi="Arial Unicode MS" w:cs="Arial Unicode MS"/>
            </w:rPr>
            <w:t>To find the equivalence point, use the average volume and the equation ∆pH/∆V, which is the difference (subtraction) of the initial or previous volume minus the current or the next (</w:t>
          </w:r>
        </w:sdtContent>
      </w:sdt>
      <w:r>
        <w:rPr>
          <w:b/>
        </w:rPr>
        <w:t>Figure 4</w:t>
      </w:r>
      <w:r>
        <w:t>).</w:t>
      </w:r>
    </w:p>
    <w:p w14:paraId="181F737D" w14:textId="77777777" w:rsidR="00704181" w:rsidRDefault="00000000">
      <w:pPr>
        <w:spacing w:line="360" w:lineRule="auto"/>
        <w:jc w:val="center"/>
      </w:pPr>
      <w:r>
        <w:rPr>
          <w:noProof/>
        </w:rPr>
        <w:drawing>
          <wp:inline distT="114300" distB="114300" distL="114300" distR="114300" wp14:anchorId="50201173" wp14:editId="794A36ED">
            <wp:extent cx="3886200" cy="1819275"/>
            <wp:effectExtent l="0" t="0" r="0" b="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3886200" cy="1819275"/>
                    </a:xfrm>
                    <a:prstGeom prst="rect">
                      <a:avLst/>
                    </a:prstGeom>
                    <a:ln/>
                  </pic:spPr>
                </pic:pic>
              </a:graphicData>
            </a:graphic>
          </wp:inline>
        </w:drawing>
      </w:r>
    </w:p>
    <w:p w14:paraId="099E512A" w14:textId="77777777" w:rsidR="00704181" w:rsidRDefault="00000000">
      <w:pPr>
        <w:spacing w:before="200" w:after="200"/>
        <w:jc w:val="both"/>
        <w:rPr>
          <w:rFonts w:ascii="Arimo" w:eastAsia="Arimo" w:hAnsi="Arimo" w:cs="Arimo"/>
          <w:sz w:val="18"/>
          <w:szCs w:val="18"/>
        </w:rPr>
      </w:pPr>
      <w:r>
        <w:rPr>
          <w:b/>
          <w:sz w:val="18"/>
          <w:szCs w:val="18"/>
        </w:rPr>
        <w:t xml:space="preserve">Figure 4. </w:t>
      </w:r>
      <w:sdt>
        <w:sdtPr>
          <w:tag w:val="goog_rdk_1"/>
          <w:id w:val="-13228561"/>
        </w:sdtPr>
        <w:sdtContent>
          <w:r>
            <w:rPr>
              <w:rFonts w:ascii="Arial Unicode MS" w:eastAsia="Arial Unicode MS" w:hAnsi="Arial Unicode MS" w:cs="Arial Unicode MS"/>
              <w:sz w:val="18"/>
              <w:szCs w:val="18"/>
            </w:rPr>
            <w:t>Calculations of the average volume (V) [a &amp; c] and the equation ∆pH/∆V [a, b &amp; d]. a &amp; c) (0-0.036)/ 2 = 0.018. a, b &amp; d) ∆pH = 3.06 – 3.06 = 0.00; ∆V = 0.036 – 0.000 = 0.036; ∆pH/∆V = 0.00 / 0.036 = 0.00</w:t>
          </w:r>
        </w:sdtContent>
      </w:sdt>
    </w:p>
    <w:p w14:paraId="199C6811" w14:textId="77777777" w:rsidR="00704181" w:rsidRDefault="00704181">
      <w:pPr>
        <w:spacing w:before="200" w:after="200"/>
        <w:jc w:val="both"/>
      </w:pPr>
    </w:p>
    <w:p w14:paraId="2051034F" w14:textId="77777777" w:rsidR="00704181" w:rsidRDefault="00000000">
      <w:pPr>
        <w:spacing w:before="200" w:after="200"/>
        <w:jc w:val="both"/>
      </w:pPr>
      <w:r>
        <w:t>Finally, the titrant volume spent versus pH/V is plotted (</w:t>
      </w:r>
      <w:r>
        <w:rPr>
          <w:b/>
        </w:rPr>
        <w:t>Figure 5</w:t>
      </w:r>
      <w:r>
        <w:t>), and the maximum observed on the graph is the equivalence point volume. This is a way to ascertain and determine the volume of titrant spent more accurately.</w:t>
      </w:r>
    </w:p>
    <w:p w14:paraId="5EF8AAD7" w14:textId="77777777" w:rsidR="00704181" w:rsidRDefault="00000000">
      <w:pPr>
        <w:spacing w:line="360" w:lineRule="auto"/>
        <w:jc w:val="center"/>
        <w:rPr>
          <w:sz w:val="24"/>
          <w:szCs w:val="24"/>
        </w:rPr>
      </w:pPr>
      <w:r>
        <w:rPr>
          <w:noProof/>
          <w:sz w:val="24"/>
          <w:szCs w:val="24"/>
        </w:rPr>
        <w:drawing>
          <wp:inline distT="0" distB="0" distL="0" distR="0" wp14:anchorId="2F2A0D3F" wp14:editId="7B4AFA22">
            <wp:extent cx="5210175" cy="2974500"/>
            <wp:effectExtent l="0" t="0" r="0" b="0"/>
            <wp:docPr id="49" name="image4.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Captura de pantalla de un celular&#10;&#10;Descripción generada automáticamente"/>
                    <pic:cNvPicPr preferRelativeResize="0"/>
                  </pic:nvPicPr>
                  <pic:blipFill>
                    <a:blip r:embed="rId18"/>
                    <a:srcRect t="14207"/>
                    <a:stretch>
                      <a:fillRect/>
                    </a:stretch>
                  </pic:blipFill>
                  <pic:spPr>
                    <a:xfrm>
                      <a:off x="0" y="0"/>
                      <a:ext cx="5210175" cy="297450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066AD8CD" wp14:editId="4C0BDA0F">
                <wp:simplePos x="0" y="0"/>
                <wp:positionH relativeFrom="column">
                  <wp:posOffset>3838575</wp:posOffset>
                </wp:positionH>
                <wp:positionV relativeFrom="paragraph">
                  <wp:posOffset>1276350</wp:posOffset>
                </wp:positionV>
                <wp:extent cx="1519604" cy="503369"/>
                <wp:effectExtent l="0" t="0" r="0" b="0"/>
                <wp:wrapNone/>
                <wp:docPr id="30" name="Rectángulo 30"/>
                <wp:cNvGraphicFramePr/>
                <a:graphic xmlns:a="http://schemas.openxmlformats.org/drawingml/2006/main">
                  <a:graphicData uri="http://schemas.microsoft.com/office/word/2010/wordprocessingShape">
                    <wps:wsp>
                      <wps:cNvSpPr/>
                      <wps:spPr>
                        <a:xfrm>
                          <a:off x="4595725" y="3589500"/>
                          <a:ext cx="1500600" cy="4845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19EB438" w14:textId="77777777" w:rsidR="00704181" w:rsidRDefault="00000000">
                            <w:pPr>
                              <w:spacing w:line="240" w:lineRule="auto"/>
                              <w:textDirection w:val="btLr"/>
                            </w:pPr>
                            <w:r>
                              <w:rPr>
                                <w:rFonts w:ascii="Calibri" w:eastAsia="Calibri" w:hAnsi="Calibri" w:cs="Calibri"/>
                                <w:color w:val="000000"/>
                                <w:sz w:val="18"/>
                              </w:rPr>
                              <w:t xml:space="preserve">El punto de </w:t>
                            </w:r>
                            <w:proofErr w:type="spellStart"/>
                            <w:r>
                              <w:rPr>
                                <w:rFonts w:ascii="Calibri" w:eastAsia="Calibri" w:hAnsi="Calibri" w:cs="Calibri"/>
                                <w:color w:val="000000"/>
                                <w:sz w:val="18"/>
                              </w:rPr>
                              <w:t>equivalencia</w:t>
                            </w:r>
                            <w:proofErr w:type="spellEnd"/>
                            <w:r>
                              <w:rPr>
                                <w:rFonts w:ascii="Calibri" w:eastAsia="Calibri" w:hAnsi="Calibri" w:cs="Calibri"/>
                                <w:color w:val="000000"/>
                                <w:sz w:val="18"/>
                              </w:rPr>
                              <w:t xml:space="preserve"> es </w:t>
                            </w:r>
                            <w:proofErr w:type="spellStart"/>
                            <w:r>
                              <w:rPr>
                                <w:rFonts w:ascii="Calibri" w:eastAsia="Calibri" w:hAnsi="Calibri" w:cs="Calibri"/>
                                <w:color w:val="000000"/>
                                <w:sz w:val="18"/>
                              </w:rPr>
                              <w:t>el</w:t>
                            </w:r>
                            <w:proofErr w:type="spellEnd"/>
                            <w:r>
                              <w:rPr>
                                <w:rFonts w:ascii="Calibri" w:eastAsia="Calibri" w:hAnsi="Calibri" w:cs="Calibri"/>
                                <w:color w:val="000000"/>
                                <w:sz w:val="18"/>
                              </w:rPr>
                              <w:t xml:space="preserve"> valor </w:t>
                            </w:r>
                            <w:proofErr w:type="spellStart"/>
                            <w:r>
                              <w:rPr>
                                <w:rFonts w:ascii="Calibri" w:eastAsia="Calibri" w:hAnsi="Calibri" w:cs="Calibri"/>
                                <w:color w:val="000000"/>
                                <w:sz w:val="18"/>
                              </w:rPr>
                              <w:t>más</w:t>
                            </w:r>
                            <w:proofErr w:type="spellEnd"/>
                            <w:r>
                              <w:rPr>
                                <w:rFonts w:ascii="Calibri" w:eastAsia="Calibri" w:hAnsi="Calibri" w:cs="Calibri"/>
                                <w:color w:val="000000"/>
                                <w:sz w:val="18"/>
                              </w:rPr>
                              <w:t xml:space="preserve"> alto: 5.196 mL</w:t>
                            </w:r>
                          </w:p>
                        </w:txbxContent>
                      </wps:txbx>
                      <wps:bodyPr spcFirstLastPara="1" wrap="square" lIns="91425" tIns="45700" rIns="91425" bIns="45700" anchor="t" anchorCtr="0">
                        <a:noAutofit/>
                      </wps:bodyPr>
                    </wps:wsp>
                  </a:graphicData>
                </a:graphic>
              </wp:anchor>
            </w:drawing>
          </mc:Choice>
          <mc:Fallback>
            <w:pict>
              <v:rect w14:anchorId="066AD8CD" id="Rectángulo 30" o:spid="_x0000_s1029" style="position:absolute;left:0;text-align:left;margin-left:302.25pt;margin-top:100.5pt;width:119.65pt;height:39.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" fillcolor="white [3201]">
                <v:stroke startarrowwidth="narrow" startarrowlength="short" endarrowwidth="narrow" endarrowlength="short" joinstyle="round"/>
                <v:textbox inset="2.53958mm,1.2694mm,2.53958mm,1.2694mm">
                  <w:txbxContent>
                    <w:p w14:paraId="519EB438" w14:textId="77777777" w:rsidR="00704181" w:rsidRDefault="00000000">
                      <w:pPr>
                        <w:spacing w:line="240" w:lineRule="auto"/>
                        <w:textDirection w:val="btLr"/>
                      </w:pPr>
                      <w:r>
                        <w:rPr>
                          <w:rFonts w:ascii="Calibri" w:eastAsia="Calibri" w:hAnsi="Calibri" w:cs="Calibri"/>
                          <w:color w:val="000000"/>
                          <w:sz w:val="18"/>
                        </w:rPr>
                        <w:t xml:space="preserve">El punto de </w:t>
                      </w:r>
                      <w:proofErr w:type="spellStart"/>
                      <w:r>
                        <w:rPr>
                          <w:rFonts w:ascii="Calibri" w:eastAsia="Calibri" w:hAnsi="Calibri" w:cs="Calibri"/>
                          <w:color w:val="000000"/>
                          <w:sz w:val="18"/>
                        </w:rPr>
                        <w:t>equivalencia</w:t>
                      </w:r>
                      <w:proofErr w:type="spellEnd"/>
                      <w:r>
                        <w:rPr>
                          <w:rFonts w:ascii="Calibri" w:eastAsia="Calibri" w:hAnsi="Calibri" w:cs="Calibri"/>
                          <w:color w:val="000000"/>
                          <w:sz w:val="18"/>
                        </w:rPr>
                        <w:t xml:space="preserve"> es </w:t>
                      </w:r>
                      <w:proofErr w:type="spellStart"/>
                      <w:r>
                        <w:rPr>
                          <w:rFonts w:ascii="Calibri" w:eastAsia="Calibri" w:hAnsi="Calibri" w:cs="Calibri"/>
                          <w:color w:val="000000"/>
                          <w:sz w:val="18"/>
                        </w:rPr>
                        <w:t>el</w:t>
                      </w:r>
                      <w:proofErr w:type="spellEnd"/>
                      <w:r>
                        <w:rPr>
                          <w:rFonts w:ascii="Calibri" w:eastAsia="Calibri" w:hAnsi="Calibri" w:cs="Calibri"/>
                          <w:color w:val="000000"/>
                          <w:sz w:val="18"/>
                        </w:rPr>
                        <w:t xml:space="preserve"> valor </w:t>
                      </w:r>
                      <w:proofErr w:type="spellStart"/>
                      <w:r>
                        <w:rPr>
                          <w:rFonts w:ascii="Calibri" w:eastAsia="Calibri" w:hAnsi="Calibri" w:cs="Calibri"/>
                          <w:color w:val="000000"/>
                          <w:sz w:val="18"/>
                        </w:rPr>
                        <w:t>más</w:t>
                      </w:r>
                      <w:proofErr w:type="spellEnd"/>
                      <w:r>
                        <w:rPr>
                          <w:rFonts w:ascii="Calibri" w:eastAsia="Calibri" w:hAnsi="Calibri" w:cs="Calibri"/>
                          <w:color w:val="000000"/>
                          <w:sz w:val="18"/>
                        </w:rPr>
                        <w:t xml:space="preserve"> alto: 5.196 mL</w:t>
                      </w:r>
                    </w:p>
                  </w:txbxContent>
                </v:textbox>
              </v:rect>
            </w:pict>
          </mc:Fallback>
        </mc:AlternateContent>
      </w:r>
    </w:p>
    <w:p w14:paraId="04BEDC57" w14:textId="77777777" w:rsidR="00704181" w:rsidRDefault="00000000">
      <w:pPr>
        <w:spacing w:before="200" w:after="200"/>
        <w:jc w:val="both"/>
        <w:rPr>
          <w:sz w:val="24"/>
          <w:szCs w:val="24"/>
        </w:rPr>
      </w:pPr>
      <w:r>
        <w:rPr>
          <w:b/>
          <w:sz w:val="18"/>
          <w:szCs w:val="18"/>
        </w:rPr>
        <w:t xml:space="preserve">Figure 5. </w:t>
      </w:r>
      <w:r>
        <w:rPr>
          <w:sz w:val="18"/>
          <w:szCs w:val="18"/>
        </w:rPr>
        <w:t>Graphical representation of the difference in pH between the difference in volume (V) with respect to the average volume of sodium hydroxide consumed.</w:t>
      </w:r>
    </w:p>
    <w:p w14:paraId="2917AE1A" w14:textId="77777777" w:rsidR="00704181" w:rsidRDefault="00704181">
      <w:pPr>
        <w:widowControl w:val="0"/>
        <w:spacing w:before="200" w:after="200"/>
        <w:jc w:val="both"/>
        <w:rPr>
          <w:b/>
          <w:sz w:val="24"/>
          <w:szCs w:val="24"/>
          <w:u w:val="single"/>
        </w:rPr>
      </w:pPr>
    </w:p>
    <w:p w14:paraId="0C7EF3A4" w14:textId="77777777" w:rsidR="00704181" w:rsidRDefault="00000000">
      <w:pPr>
        <w:widowControl w:val="0"/>
        <w:spacing w:before="200" w:after="200"/>
        <w:jc w:val="both"/>
        <w:rPr>
          <w:b/>
          <w:sz w:val="24"/>
          <w:szCs w:val="24"/>
          <w:u w:val="single"/>
        </w:rPr>
      </w:pPr>
      <w:r>
        <w:rPr>
          <w:b/>
          <w:sz w:val="24"/>
          <w:szCs w:val="24"/>
          <w:u w:val="single"/>
        </w:rPr>
        <w:lastRenderedPageBreak/>
        <w:t>Second derivative method to verify the equivalence point (optional)</w:t>
      </w:r>
    </w:p>
    <w:p w14:paraId="7D558608" w14:textId="77777777" w:rsidR="00704181" w:rsidRPr="00664CB9" w:rsidRDefault="00000000">
      <w:pPr>
        <w:widowControl w:val="0"/>
        <w:spacing w:before="200" w:after="200"/>
        <w:jc w:val="both"/>
        <w:rPr>
          <w:i/>
          <w:iCs/>
          <w:sz w:val="18"/>
          <w:szCs w:val="18"/>
        </w:rPr>
      </w:pPr>
      <w:r w:rsidRPr="00664CB9">
        <w:rPr>
          <w:b/>
          <w:i/>
          <w:iCs/>
          <w:sz w:val="18"/>
          <w:szCs w:val="18"/>
        </w:rPr>
        <w:t>Note:</w:t>
      </w:r>
      <w:r w:rsidRPr="00664CB9">
        <w:rPr>
          <w:i/>
          <w:iCs/>
          <w:sz w:val="18"/>
          <w:szCs w:val="18"/>
        </w:rPr>
        <w:t xml:space="preserve"> This section is used to verify the equivalence point, </w:t>
      </w:r>
      <w:proofErr w:type="gramStart"/>
      <w:r w:rsidRPr="00664CB9">
        <w:rPr>
          <w:i/>
          <w:iCs/>
          <w:sz w:val="18"/>
          <w:szCs w:val="18"/>
        </w:rPr>
        <w:t>in order to</w:t>
      </w:r>
      <w:proofErr w:type="gramEnd"/>
      <w:r w:rsidRPr="00664CB9">
        <w:rPr>
          <w:i/>
          <w:iCs/>
          <w:sz w:val="18"/>
          <w:szCs w:val="18"/>
        </w:rPr>
        <w:t xml:space="preserve"> increase the accuracy of the result. It is up to the teacher to decide whether to include this activity or not.</w:t>
      </w:r>
    </w:p>
    <w:p w14:paraId="5503EE98" w14:textId="77777777" w:rsidR="00704181" w:rsidRDefault="00000000">
      <w:pPr>
        <w:widowControl w:val="0"/>
        <w:spacing w:before="200" w:after="200"/>
        <w:jc w:val="both"/>
      </w:pPr>
      <w:sdt>
        <w:sdtPr>
          <w:tag w:val="goog_rdk_2"/>
          <w:id w:val="-2056768183"/>
        </w:sdtPr>
        <w:sdtContent>
          <w:r>
            <w:rPr>
              <w:rFonts w:ascii="Arial Unicode MS" w:eastAsia="Arial Unicode MS" w:hAnsi="Arial Unicode MS" w:cs="Arial Unicode MS"/>
            </w:rPr>
            <w:t>To corroborate the equivalence point, we use the average volume and the equation ∆(∆pH/∆V)/∆V (</w:t>
          </w:r>
        </w:sdtContent>
      </w:sdt>
      <w:r>
        <w:rPr>
          <w:b/>
        </w:rPr>
        <w:t>Figure 6</w:t>
      </w:r>
      <w:r>
        <w:t>).</w:t>
      </w:r>
    </w:p>
    <w:p w14:paraId="12E529A5" w14:textId="77777777" w:rsidR="00704181" w:rsidRDefault="00000000">
      <w:pPr>
        <w:spacing w:before="200" w:after="200"/>
        <w:jc w:val="both"/>
      </w:pPr>
      <w:r>
        <w:rPr>
          <w:noProof/>
        </w:rPr>
        <w:drawing>
          <wp:inline distT="114300" distB="114300" distL="114300" distR="114300" wp14:anchorId="7DB94404" wp14:editId="47735419">
            <wp:extent cx="5731200" cy="1206500"/>
            <wp:effectExtent l="0" t="0" r="0" b="0"/>
            <wp:docPr id="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5731200" cy="1206500"/>
                    </a:xfrm>
                    <a:prstGeom prst="rect">
                      <a:avLst/>
                    </a:prstGeom>
                    <a:ln/>
                  </pic:spPr>
                </pic:pic>
              </a:graphicData>
            </a:graphic>
          </wp:inline>
        </w:drawing>
      </w:r>
    </w:p>
    <w:p w14:paraId="7C7B4C0B" w14:textId="77777777" w:rsidR="00704181" w:rsidRDefault="00000000">
      <w:pPr>
        <w:spacing w:before="200" w:after="200"/>
        <w:jc w:val="both"/>
      </w:pPr>
      <w:r>
        <w:rPr>
          <w:noProof/>
        </w:rPr>
        <w:drawing>
          <wp:inline distT="114300" distB="114300" distL="114300" distR="114300" wp14:anchorId="2E6E2CA8" wp14:editId="53B4003F">
            <wp:extent cx="5731200" cy="11938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731200" cy="1193800"/>
                    </a:xfrm>
                    <a:prstGeom prst="rect">
                      <a:avLst/>
                    </a:prstGeom>
                    <a:ln/>
                  </pic:spPr>
                </pic:pic>
              </a:graphicData>
            </a:graphic>
          </wp:inline>
        </w:drawing>
      </w:r>
    </w:p>
    <w:p w14:paraId="21214F8A" w14:textId="77777777" w:rsidR="00704181" w:rsidRDefault="00000000">
      <w:pPr>
        <w:widowControl w:val="0"/>
        <w:spacing w:before="200" w:after="200"/>
        <w:jc w:val="both"/>
        <w:rPr>
          <w:sz w:val="18"/>
          <w:szCs w:val="18"/>
        </w:rPr>
      </w:pPr>
      <w:r>
        <w:rPr>
          <w:b/>
          <w:sz w:val="18"/>
          <w:szCs w:val="18"/>
        </w:rPr>
        <w:t>Figure 6.</w:t>
      </w:r>
      <w:r>
        <w:rPr>
          <w:sz w:val="18"/>
          <w:szCs w:val="18"/>
        </w:rPr>
        <w:t xml:space="preserve"> Calculations of the average volume (V) [</w:t>
      </w:r>
      <w:proofErr w:type="spellStart"/>
      <w:r>
        <w:rPr>
          <w:sz w:val="18"/>
          <w:szCs w:val="18"/>
        </w:rPr>
        <w:t>V</w:t>
      </w:r>
      <w:r>
        <w:rPr>
          <w:sz w:val="18"/>
          <w:szCs w:val="18"/>
          <w:vertAlign w:val="subscript"/>
        </w:rPr>
        <w:t>average</w:t>
      </w:r>
      <w:proofErr w:type="spellEnd"/>
      <w:r>
        <w:rPr>
          <w:sz w:val="18"/>
          <w:szCs w:val="18"/>
        </w:rPr>
        <w:t>=V</w:t>
      </w:r>
      <w:r>
        <w:rPr>
          <w:sz w:val="18"/>
          <w:szCs w:val="18"/>
          <w:vertAlign w:val="subscript"/>
        </w:rPr>
        <w:t>1</w:t>
      </w:r>
      <w:r>
        <w:rPr>
          <w:sz w:val="18"/>
          <w:szCs w:val="18"/>
        </w:rPr>
        <w:t xml:space="preserve"> - V</w:t>
      </w:r>
      <w:r>
        <w:rPr>
          <w:sz w:val="18"/>
          <w:szCs w:val="18"/>
          <w:vertAlign w:val="subscript"/>
        </w:rPr>
        <w:t>0</w:t>
      </w:r>
      <w:sdt>
        <w:sdtPr>
          <w:tag w:val="goog_rdk_3"/>
          <w:id w:val="-2094459340"/>
        </w:sdtPr>
        <w:sdtContent>
          <w:r>
            <w:rPr>
              <w:rFonts w:ascii="Arial Unicode MS" w:eastAsia="Arial Unicode MS" w:hAnsi="Arial Unicode MS" w:cs="Arial Unicode MS"/>
              <w:sz w:val="18"/>
              <w:szCs w:val="18"/>
            </w:rPr>
            <w:t>] and the equation ∆(∆pH/∆V)/∆V [(∆pH/∆V</w:t>
          </w:r>
        </w:sdtContent>
      </w:sdt>
      <w:r>
        <w:rPr>
          <w:sz w:val="18"/>
          <w:szCs w:val="18"/>
          <w:vertAlign w:val="subscript"/>
        </w:rPr>
        <w:t>1</w:t>
      </w:r>
      <w:sdt>
        <w:sdtPr>
          <w:tag w:val="goog_rdk_4"/>
          <w:id w:val="517119906"/>
        </w:sdtPr>
        <w:sdtContent>
          <w:r>
            <w:rPr>
              <w:rFonts w:ascii="Arial Unicode MS" w:eastAsia="Arial Unicode MS" w:hAnsi="Arial Unicode MS" w:cs="Arial Unicode MS"/>
              <w:sz w:val="18"/>
              <w:szCs w:val="18"/>
            </w:rPr>
            <w:t xml:space="preserve"> - ∆pH/∆V</w:t>
          </w:r>
        </w:sdtContent>
      </w:sdt>
      <w:r>
        <w:rPr>
          <w:sz w:val="18"/>
          <w:szCs w:val="18"/>
          <w:vertAlign w:val="subscript"/>
        </w:rPr>
        <w:t>0</w:t>
      </w:r>
      <w:r>
        <w:rPr>
          <w:sz w:val="18"/>
          <w:szCs w:val="18"/>
        </w:rPr>
        <w:t>)</w:t>
      </w:r>
      <w:proofErr w:type="gramStart"/>
      <w:r>
        <w:rPr>
          <w:sz w:val="18"/>
          <w:szCs w:val="18"/>
        </w:rPr>
        <w:t>/(</w:t>
      </w:r>
      <w:proofErr w:type="spellStart"/>
      <w:proofErr w:type="gramEnd"/>
      <w:r>
        <w:rPr>
          <w:sz w:val="18"/>
          <w:szCs w:val="18"/>
        </w:rPr>
        <w:t>V</w:t>
      </w:r>
      <w:r>
        <w:rPr>
          <w:sz w:val="18"/>
          <w:szCs w:val="18"/>
          <w:vertAlign w:val="subscript"/>
        </w:rPr>
        <w:t>average</w:t>
      </w:r>
      <w:proofErr w:type="spellEnd"/>
      <w:r>
        <w:rPr>
          <w:sz w:val="18"/>
          <w:szCs w:val="18"/>
          <w:vertAlign w:val="subscript"/>
        </w:rPr>
        <w:t xml:space="preserve"> 1</w:t>
      </w:r>
      <w:r>
        <w:rPr>
          <w:sz w:val="18"/>
          <w:szCs w:val="18"/>
        </w:rPr>
        <w:t xml:space="preserve"> - </w:t>
      </w:r>
      <w:proofErr w:type="spellStart"/>
      <w:r>
        <w:rPr>
          <w:sz w:val="18"/>
          <w:szCs w:val="18"/>
        </w:rPr>
        <w:t>V</w:t>
      </w:r>
      <w:r>
        <w:rPr>
          <w:sz w:val="18"/>
          <w:szCs w:val="18"/>
          <w:vertAlign w:val="subscript"/>
        </w:rPr>
        <w:t>average</w:t>
      </w:r>
      <w:proofErr w:type="spellEnd"/>
      <w:r>
        <w:rPr>
          <w:sz w:val="18"/>
          <w:szCs w:val="18"/>
        </w:rPr>
        <w:t xml:space="preserve"> </w:t>
      </w:r>
      <w:r>
        <w:rPr>
          <w:sz w:val="18"/>
          <w:szCs w:val="18"/>
          <w:vertAlign w:val="subscript"/>
        </w:rPr>
        <w:t>2</w:t>
      </w:r>
      <w:r>
        <w:rPr>
          <w:sz w:val="18"/>
          <w:szCs w:val="18"/>
        </w:rPr>
        <w:t>)]</w:t>
      </w:r>
    </w:p>
    <w:p w14:paraId="15F51942" w14:textId="77777777" w:rsidR="00704181" w:rsidRDefault="00000000">
      <w:pPr>
        <w:widowControl w:val="0"/>
        <w:spacing w:before="200" w:after="200"/>
        <w:jc w:val="both"/>
      </w:pPr>
      <w:sdt>
        <w:sdtPr>
          <w:tag w:val="goog_rdk_5"/>
          <w:id w:val="1916045745"/>
        </w:sdtPr>
        <w:sdtContent>
          <w:r>
            <w:rPr>
              <w:rFonts w:ascii="Arial Unicode MS" w:eastAsia="Arial Unicode MS" w:hAnsi="Arial Unicode MS" w:cs="Arial Unicode MS"/>
            </w:rPr>
            <w:t>Finally, the average volume versus ∆(∆pH/∆V)/∆V is plotted (</w:t>
          </w:r>
        </w:sdtContent>
      </w:sdt>
      <w:r>
        <w:rPr>
          <w:b/>
        </w:rPr>
        <w:t>Figure 7</w:t>
      </w:r>
      <w:r>
        <w:t>). It is observed that most of the points are around the X axis, but there is also a maximum and minimum point, and the point that intersects with the X axis, between that maximum and minimum, is the equivalence point.</w:t>
      </w:r>
    </w:p>
    <w:p w14:paraId="76D6AE53" w14:textId="77777777" w:rsidR="00704181" w:rsidRDefault="00000000">
      <w:pPr>
        <w:spacing w:line="360" w:lineRule="auto"/>
        <w:jc w:val="both"/>
      </w:pPr>
      <w:r>
        <w:rPr>
          <w:noProof/>
        </w:rPr>
        <w:drawing>
          <wp:inline distT="114300" distB="114300" distL="114300" distR="114300" wp14:anchorId="3B7A5B36" wp14:editId="6009F6CA">
            <wp:extent cx="5731200" cy="217170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31200" cy="2171700"/>
                    </a:xfrm>
                    <a:prstGeom prst="rect">
                      <a:avLst/>
                    </a:prstGeom>
                    <a:ln/>
                  </pic:spPr>
                </pic:pic>
              </a:graphicData>
            </a:graphic>
          </wp:inline>
        </w:drawing>
      </w:r>
    </w:p>
    <w:p w14:paraId="24EA8C95" w14:textId="77777777" w:rsidR="00704181" w:rsidRDefault="00000000">
      <w:pPr>
        <w:widowControl w:val="0"/>
        <w:spacing w:before="200" w:after="200"/>
        <w:jc w:val="both"/>
        <w:rPr>
          <w:sz w:val="18"/>
          <w:szCs w:val="18"/>
        </w:rPr>
      </w:pPr>
      <w:r>
        <w:rPr>
          <w:b/>
          <w:sz w:val="18"/>
          <w:szCs w:val="18"/>
        </w:rPr>
        <w:t xml:space="preserve">Figure 7. </w:t>
      </w:r>
      <w:r>
        <w:rPr>
          <w:sz w:val="18"/>
          <w:szCs w:val="18"/>
        </w:rPr>
        <w:t>Graphical representation of the difference of the first derivative between the difference in volume (V) with respect to the average volume of sodium hydroxide consumed.</w:t>
      </w:r>
    </w:p>
    <w:p w14:paraId="551FEF4B" w14:textId="77777777" w:rsidR="00704181" w:rsidRDefault="00704181">
      <w:pPr>
        <w:widowControl w:val="0"/>
        <w:spacing w:before="200" w:after="200"/>
        <w:jc w:val="both"/>
        <w:rPr>
          <w:sz w:val="18"/>
          <w:szCs w:val="18"/>
        </w:rPr>
      </w:pPr>
    </w:p>
    <w:tbl>
      <w:tblPr>
        <w:tblStyle w:val="ac"/>
        <w:tblW w:w="9029" w:type="dxa"/>
        <w:tblInd w:w="0" w:type="dxa"/>
        <w:tblLayout w:type="fixed"/>
        <w:tblLook w:val="0600" w:firstRow="0" w:lastRow="0" w:firstColumn="0" w:lastColumn="0" w:noHBand="1" w:noVBand="1"/>
      </w:tblPr>
      <w:tblGrid>
        <w:gridCol w:w="9029"/>
      </w:tblGrid>
      <w:tr w:rsidR="00704181" w14:paraId="41753784" w14:textId="77777777">
        <w:tc>
          <w:tcPr>
            <w:tcW w:w="9029" w:type="dxa"/>
            <w:shd w:val="clear" w:color="auto" w:fill="6AA84F"/>
            <w:tcMar>
              <w:top w:w="-13" w:type="dxa"/>
              <w:left w:w="-13" w:type="dxa"/>
              <w:bottom w:w="-13" w:type="dxa"/>
              <w:right w:w="-13" w:type="dxa"/>
            </w:tcMar>
          </w:tcPr>
          <w:p w14:paraId="452BEECE" w14:textId="77777777" w:rsidR="00704181" w:rsidRDefault="00000000">
            <w:pPr>
              <w:pStyle w:val="Ttulo1"/>
              <w:spacing w:before="0" w:after="0"/>
              <w:jc w:val="center"/>
              <w:rPr>
                <w:b/>
                <w:color w:val="FFFFFF"/>
                <w:sz w:val="36"/>
                <w:szCs w:val="36"/>
              </w:rPr>
            </w:pPr>
            <w:bookmarkStart w:id="5" w:name="_heading=h.2et92p0" w:colFirst="0" w:colLast="0"/>
            <w:bookmarkEnd w:id="5"/>
            <w:r>
              <w:rPr>
                <w:b/>
                <w:color w:val="FFFFFF"/>
                <w:sz w:val="36"/>
                <w:szCs w:val="36"/>
              </w:rPr>
              <w:lastRenderedPageBreak/>
              <w:t>Results</w:t>
            </w:r>
          </w:p>
        </w:tc>
      </w:tr>
    </w:tbl>
    <w:p w14:paraId="48DFA542" w14:textId="77777777" w:rsidR="00704181" w:rsidRDefault="00704181">
      <w:pPr>
        <w:spacing w:line="360" w:lineRule="auto"/>
        <w:jc w:val="both"/>
        <w:rPr>
          <w:sz w:val="24"/>
          <w:szCs w:val="24"/>
        </w:rPr>
      </w:pPr>
    </w:p>
    <w:p w14:paraId="46D3BACE" w14:textId="77777777" w:rsidR="00704181" w:rsidRDefault="00000000">
      <w:pPr>
        <w:spacing w:line="360" w:lineRule="auto"/>
        <w:jc w:val="both"/>
      </w:pPr>
      <w:r>
        <w:rPr>
          <w:b/>
        </w:rPr>
        <w:t>Table 1</w:t>
      </w:r>
      <w:r>
        <w:t xml:space="preserve"> shows the results obtained experimentally for the volume of titrant (NaOH) used and for the pH at the time the solution changes from colorless to pinkish.</w:t>
      </w:r>
    </w:p>
    <w:p w14:paraId="43B244E8" w14:textId="77777777" w:rsidR="00704181" w:rsidRDefault="00704181">
      <w:pPr>
        <w:spacing w:line="360" w:lineRule="auto"/>
        <w:jc w:val="both"/>
      </w:pPr>
    </w:p>
    <w:p w14:paraId="290A4A7B" w14:textId="77777777" w:rsidR="00704181" w:rsidRDefault="00000000">
      <w:pPr>
        <w:spacing w:line="360" w:lineRule="auto"/>
        <w:jc w:val="both"/>
      </w:pPr>
      <w:r>
        <w:rPr>
          <w:b/>
          <w:sz w:val="18"/>
          <w:szCs w:val="18"/>
        </w:rPr>
        <w:t>Table 1:</w:t>
      </w:r>
      <w:r>
        <w:rPr>
          <w:sz w:val="18"/>
          <w:szCs w:val="18"/>
        </w:rPr>
        <w:t xml:space="preserve"> volume and pH results obtained at the turning point observed in the remote laboratory.</w:t>
      </w: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885"/>
        <w:gridCol w:w="2115"/>
      </w:tblGrid>
      <w:tr w:rsidR="00704181" w14:paraId="6016035E" w14:textId="77777777">
        <w:tc>
          <w:tcPr>
            <w:tcW w:w="3029" w:type="dxa"/>
            <w:shd w:val="clear" w:color="auto" w:fill="auto"/>
            <w:tcMar>
              <w:top w:w="100" w:type="dxa"/>
              <w:left w:w="100" w:type="dxa"/>
              <w:bottom w:w="100" w:type="dxa"/>
              <w:right w:w="100" w:type="dxa"/>
            </w:tcMar>
          </w:tcPr>
          <w:p w14:paraId="0AD80E21" w14:textId="77777777" w:rsidR="00704181" w:rsidRDefault="00000000">
            <w:pPr>
              <w:widowControl w:val="0"/>
              <w:spacing w:line="240" w:lineRule="auto"/>
              <w:jc w:val="center"/>
            </w:pPr>
            <w:r>
              <w:t>Citric acid sample</w:t>
            </w:r>
          </w:p>
        </w:tc>
        <w:tc>
          <w:tcPr>
            <w:tcW w:w="3885" w:type="dxa"/>
            <w:shd w:val="clear" w:color="auto" w:fill="auto"/>
            <w:tcMar>
              <w:top w:w="100" w:type="dxa"/>
              <w:left w:w="100" w:type="dxa"/>
              <w:bottom w:w="100" w:type="dxa"/>
              <w:right w:w="100" w:type="dxa"/>
            </w:tcMar>
          </w:tcPr>
          <w:p w14:paraId="1DA2B95E" w14:textId="14AF6A68" w:rsidR="00704181" w:rsidRDefault="00664CB9">
            <w:pPr>
              <w:widowControl w:val="0"/>
              <w:spacing w:line="240" w:lineRule="auto"/>
              <w:jc w:val="center"/>
            </w:pPr>
            <w:r w:rsidRPr="00664CB9">
              <w:t>Volume of NaOH spent</w:t>
            </w:r>
            <w:r w:rsidR="00000000">
              <w:t xml:space="preserve"> (mL)</w:t>
            </w:r>
          </w:p>
        </w:tc>
        <w:tc>
          <w:tcPr>
            <w:tcW w:w="2115" w:type="dxa"/>
            <w:shd w:val="clear" w:color="auto" w:fill="auto"/>
            <w:tcMar>
              <w:top w:w="100" w:type="dxa"/>
              <w:left w:w="100" w:type="dxa"/>
              <w:bottom w:w="100" w:type="dxa"/>
              <w:right w:w="100" w:type="dxa"/>
            </w:tcMar>
          </w:tcPr>
          <w:p w14:paraId="06AE1987" w14:textId="77777777" w:rsidR="00704181" w:rsidRDefault="00000000">
            <w:pPr>
              <w:widowControl w:val="0"/>
              <w:spacing w:line="240" w:lineRule="auto"/>
              <w:jc w:val="center"/>
            </w:pPr>
            <w:r>
              <w:t>pH</w:t>
            </w:r>
          </w:p>
        </w:tc>
      </w:tr>
      <w:tr w:rsidR="00704181" w14:paraId="0B96028C" w14:textId="77777777">
        <w:tc>
          <w:tcPr>
            <w:tcW w:w="3029" w:type="dxa"/>
            <w:shd w:val="clear" w:color="auto" w:fill="auto"/>
            <w:tcMar>
              <w:top w:w="100" w:type="dxa"/>
              <w:left w:w="100" w:type="dxa"/>
              <w:bottom w:w="100" w:type="dxa"/>
              <w:right w:w="100" w:type="dxa"/>
            </w:tcMar>
          </w:tcPr>
          <w:p w14:paraId="478C173F" w14:textId="77777777" w:rsidR="00704181" w:rsidRDefault="00000000">
            <w:pPr>
              <w:widowControl w:val="0"/>
              <w:spacing w:line="240" w:lineRule="auto"/>
              <w:jc w:val="center"/>
            </w:pPr>
            <w:r>
              <w:t>Sample 1</w:t>
            </w:r>
          </w:p>
        </w:tc>
        <w:tc>
          <w:tcPr>
            <w:tcW w:w="3885" w:type="dxa"/>
            <w:shd w:val="clear" w:color="auto" w:fill="auto"/>
            <w:tcMar>
              <w:top w:w="100" w:type="dxa"/>
              <w:left w:w="100" w:type="dxa"/>
              <w:bottom w:w="100" w:type="dxa"/>
              <w:right w:w="100" w:type="dxa"/>
            </w:tcMar>
          </w:tcPr>
          <w:p w14:paraId="6464AD84" w14:textId="77777777" w:rsidR="00704181" w:rsidRDefault="00000000">
            <w:pPr>
              <w:widowControl w:val="0"/>
              <w:spacing w:line="240" w:lineRule="auto"/>
              <w:jc w:val="center"/>
            </w:pPr>
            <w:r>
              <w:t>5.14</w:t>
            </w:r>
          </w:p>
        </w:tc>
        <w:tc>
          <w:tcPr>
            <w:tcW w:w="2115" w:type="dxa"/>
            <w:shd w:val="clear" w:color="auto" w:fill="auto"/>
            <w:tcMar>
              <w:top w:w="100" w:type="dxa"/>
              <w:left w:w="100" w:type="dxa"/>
              <w:bottom w:w="100" w:type="dxa"/>
              <w:right w:w="100" w:type="dxa"/>
            </w:tcMar>
          </w:tcPr>
          <w:p w14:paraId="056194CC" w14:textId="77777777" w:rsidR="00704181" w:rsidRDefault="00000000">
            <w:pPr>
              <w:widowControl w:val="0"/>
              <w:spacing w:line="240" w:lineRule="auto"/>
              <w:jc w:val="center"/>
            </w:pPr>
            <w:r>
              <w:t>7.92</w:t>
            </w:r>
          </w:p>
        </w:tc>
      </w:tr>
      <w:tr w:rsidR="00704181" w14:paraId="125E677A" w14:textId="77777777">
        <w:tc>
          <w:tcPr>
            <w:tcW w:w="3029" w:type="dxa"/>
            <w:shd w:val="clear" w:color="auto" w:fill="auto"/>
            <w:tcMar>
              <w:top w:w="100" w:type="dxa"/>
              <w:left w:w="100" w:type="dxa"/>
              <w:bottom w:w="100" w:type="dxa"/>
              <w:right w:w="100" w:type="dxa"/>
            </w:tcMar>
          </w:tcPr>
          <w:p w14:paraId="14EC5D53" w14:textId="77777777" w:rsidR="00704181" w:rsidRDefault="00000000">
            <w:pPr>
              <w:widowControl w:val="0"/>
              <w:spacing w:line="240" w:lineRule="auto"/>
              <w:jc w:val="center"/>
            </w:pPr>
            <w:proofErr w:type="gramStart"/>
            <w:r>
              <w:t>Sample  2</w:t>
            </w:r>
            <w:proofErr w:type="gramEnd"/>
          </w:p>
        </w:tc>
        <w:tc>
          <w:tcPr>
            <w:tcW w:w="3885" w:type="dxa"/>
            <w:shd w:val="clear" w:color="auto" w:fill="auto"/>
            <w:tcMar>
              <w:top w:w="100" w:type="dxa"/>
              <w:left w:w="100" w:type="dxa"/>
              <w:bottom w:w="100" w:type="dxa"/>
              <w:right w:w="100" w:type="dxa"/>
            </w:tcMar>
          </w:tcPr>
          <w:p w14:paraId="4AC4EFED" w14:textId="77777777" w:rsidR="00704181" w:rsidRDefault="00000000">
            <w:pPr>
              <w:widowControl w:val="0"/>
              <w:spacing w:line="240" w:lineRule="auto"/>
              <w:jc w:val="center"/>
            </w:pPr>
            <w:r>
              <w:t>4.50</w:t>
            </w:r>
          </w:p>
        </w:tc>
        <w:tc>
          <w:tcPr>
            <w:tcW w:w="2115" w:type="dxa"/>
            <w:shd w:val="clear" w:color="auto" w:fill="auto"/>
            <w:tcMar>
              <w:top w:w="100" w:type="dxa"/>
              <w:left w:w="100" w:type="dxa"/>
              <w:bottom w:w="100" w:type="dxa"/>
              <w:right w:w="100" w:type="dxa"/>
            </w:tcMar>
          </w:tcPr>
          <w:p w14:paraId="00352879" w14:textId="77777777" w:rsidR="00704181" w:rsidRDefault="00000000">
            <w:pPr>
              <w:widowControl w:val="0"/>
              <w:spacing w:line="240" w:lineRule="auto"/>
              <w:jc w:val="center"/>
            </w:pPr>
            <w:r>
              <w:t>7.72</w:t>
            </w:r>
          </w:p>
        </w:tc>
      </w:tr>
      <w:tr w:rsidR="00704181" w14:paraId="75C58344" w14:textId="77777777">
        <w:tc>
          <w:tcPr>
            <w:tcW w:w="3029" w:type="dxa"/>
            <w:shd w:val="clear" w:color="auto" w:fill="auto"/>
            <w:tcMar>
              <w:top w:w="100" w:type="dxa"/>
              <w:left w:w="100" w:type="dxa"/>
              <w:bottom w:w="100" w:type="dxa"/>
              <w:right w:w="100" w:type="dxa"/>
            </w:tcMar>
          </w:tcPr>
          <w:p w14:paraId="4AB46BAB" w14:textId="77777777" w:rsidR="00704181" w:rsidRDefault="00000000">
            <w:pPr>
              <w:widowControl w:val="0"/>
              <w:spacing w:line="240" w:lineRule="auto"/>
              <w:jc w:val="center"/>
            </w:pPr>
            <w:proofErr w:type="gramStart"/>
            <w:r>
              <w:t>Sample  3</w:t>
            </w:r>
            <w:proofErr w:type="gramEnd"/>
          </w:p>
        </w:tc>
        <w:tc>
          <w:tcPr>
            <w:tcW w:w="3885" w:type="dxa"/>
            <w:shd w:val="clear" w:color="auto" w:fill="auto"/>
            <w:tcMar>
              <w:top w:w="100" w:type="dxa"/>
              <w:left w:w="100" w:type="dxa"/>
              <w:bottom w:w="100" w:type="dxa"/>
              <w:right w:w="100" w:type="dxa"/>
            </w:tcMar>
          </w:tcPr>
          <w:p w14:paraId="069357BF" w14:textId="77777777" w:rsidR="00704181" w:rsidRDefault="00000000">
            <w:pPr>
              <w:widowControl w:val="0"/>
              <w:spacing w:line="240" w:lineRule="auto"/>
              <w:jc w:val="center"/>
            </w:pPr>
            <w:r>
              <w:t>5.07</w:t>
            </w:r>
          </w:p>
        </w:tc>
        <w:tc>
          <w:tcPr>
            <w:tcW w:w="2115" w:type="dxa"/>
            <w:shd w:val="clear" w:color="auto" w:fill="auto"/>
            <w:tcMar>
              <w:top w:w="100" w:type="dxa"/>
              <w:left w:w="100" w:type="dxa"/>
              <w:bottom w:w="100" w:type="dxa"/>
              <w:right w:w="100" w:type="dxa"/>
            </w:tcMar>
          </w:tcPr>
          <w:p w14:paraId="5D99F128" w14:textId="77777777" w:rsidR="00704181" w:rsidRDefault="00000000">
            <w:pPr>
              <w:widowControl w:val="0"/>
              <w:spacing w:line="240" w:lineRule="auto"/>
              <w:jc w:val="center"/>
            </w:pPr>
            <w:r>
              <w:t>8.11</w:t>
            </w:r>
          </w:p>
        </w:tc>
      </w:tr>
      <w:tr w:rsidR="00704181" w14:paraId="389B6061" w14:textId="77777777">
        <w:tc>
          <w:tcPr>
            <w:tcW w:w="3029" w:type="dxa"/>
            <w:shd w:val="clear" w:color="auto" w:fill="auto"/>
            <w:tcMar>
              <w:top w:w="100" w:type="dxa"/>
              <w:left w:w="100" w:type="dxa"/>
              <w:bottom w:w="100" w:type="dxa"/>
              <w:right w:w="100" w:type="dxa"/>
            </w:tcMar>
          </w:tcPr>
          <w:p w14:paraId="3549AB95" w14:textId="77777777" w:rsidR="00704181" w:rsidRDefault="00000000">
            <w:pPr>
              <w:widowControl w:val="0"/>
              <w:spacing w:line="240" w:lineRule="auto"/>
              <w:jc w:val="center"/>
            </w:pPr>
            <w:r>
              <w:rPr>
                <w:highlight w:val="white"/>
              </w:rPr>
              <w:t>Average</w:t>
            </w:r>
          </w:p>
        </w:tc>
        <w:tc>
          <w:tcPr>
            <w:tcW w:w="3885" w:type="dxa"/>
            <w:shd w:val="clear" w:color="auto" w:fill="auto"/>
            <w:tcMar>
              <w:top w:w="100" w:type="dxa"/>
              <w:left w:w="100" w:type="dxa"/>
              <w:bottom w:w="100" w:type="dxa"/>
              <w:right w:w="100" w:type="dxa"/>
            </w:tcMar>
          </w:tcPr>
          <w:p w14:paraId="664851E9" w14:textId="77777777" w:rsidR="00704181" w:rsidRDefault="00000000">
            <w:pPr>
              <w:widowControl w:val="0"/>
              <w:spacing w:line="240" w:lineRule="auto"/>
              <w:jc w:val="center"/>
            </w:pPr>
            <w:r>
              <w:t>4.90</w:t>
            </w:r>
          </w:p>
        </w:tc>
        <w:tc>
          <w:tcPr>
            <w:tcW w:w="2115" w:type="dxa"/>
            <w:shd w:val="clear" w:color="auto" w:fill="auto"/>
            <w:tcMar>
              <w:top w:w="100" w:type="dxa"/>
              <w:left w:w="100" w:type="dxa"/>
              <w:bottom w:w="100" w:type="dxa"/>
              <w:right w:w="100" w:type="dxa"/>
            </w:tcMar>
          </w:tcPr>
          <w:p w14:paraId="7F7B4F3A" w14:textId="77777777" w:rsidR="00704181" w:rsidRDefault="00000000">
            <w:pPr>
              <w:widowControl w:val="0"/>
              <w:spacing w:line="240" w:lineRule="auto"/>
              <w:jc w:val="center"/>
            </w:pPr>
            <w:r>
              <w:t>7.92</w:t>
            </w:r>
          </w:p>
        </w:tc>
      </w:tr>
      <w:tr w:rsidR="00704181" w14:paraId="42E9E6DD" w14:textId="77777777">
        <w:tc>
          <w:tcPr>
            <w:tcW w:w="3029" w:type="dxa"/>
            <w:shd w:val="clear" w:color="auto" w:fill="auto"/>
            <w:tcMar>
              <w:top w:w="100" w:type="dxa"/>
              <w:left w:w="100" w:type="dxa"/>
              <w:bottom w:w="100" w:type="dxa"/>
              <w:right w:w="100" w:type="dxa"/>
            </w:tcMar>
          </w:tcPr>
          <w:p w14:paraId="3BCD29E7" w14:textId="77777777" w:rsidR="00704181" w:rsidRDefault="00000000">
            <w:pPr>
              <w:widowControl w:val="0"/>
              <w:spacing w:line="240" w:lineRule="auto"/>
              <w:jc w:val="center"/>
            </w:pPr>
            <w:r>
              <w:t>Standard deviation</w:t>
            </w:r>
          </w:p>
        </w:tc>
        <w:tc>
          <w:tcPr>
            <w:tcW w:w="3885" w:type="dxa"/>
            <w:shd w:val="clear" w:color="auto" w:fill="auto"/>
            <w:tcMar>
              <w:top w:w="100" w:type="dxa"/>
              <w:left w:w="100" w:type="dxa"/>
              <w:bottom w:w="100" w:type="dxa"/>
              <w:right w:w="100" w:type="dxa"/>
            </w:tcMar>
          </w:tcPr>
          <w:p w14:paraId="48CD5364" w14:textId="77777777" w:rsidR="00704181" w:rsidRDefault="00000000">
            <w:pPr>
              <w:widowControl w:val="0"/>
              <w:spacing w:line="240" w:lineRule="auto"/>
              <w:jc w:val="center"/>
            </w:pPr>
            <w:r>
              <w:t>0.4</w:t>
            </w:r>
          </w:p>
        </w:tc>
        <w:tc>
          <w:tcPr>
            <w:tcW w:w="2115" w:type="dxa"/>
            <w:shd w:val="clear" w:color="auto" w:fill="auto"/>
            <w:tcMar>
              <w:top w:w="100" w:type="dxa"/>
              <w:left w:w="100" w:type="dxa"/>
              <w:bottom w:w="100" w:type="dxa"/>
              <w:right w:w="100" w:type="dxa"/>
            </w:tcMar>
          </w:tcPr>
          <w:p w14:paraId="08050051" w14:textId="77777777" w:rsidR="00704181" w:rsidRDefault="00000000">
            <w:pPr>
              <w:widowControl w:val="0"/>
              <w:spacing w:line="240" w:lineRule="auto"/>
              <w:jc w:val="center"/>
            </w:pPr>
            <w:r>
              <w:t>0.2</w:t>
            </w:r>
          </w:p>
        </w:tc>
      </w:tr>
    </w:tbl>
    <w:p w14:paraId="224A720C" w14:textId="77777777" w:rsidR="00704181" w:rsidRDefault="00704181">
      <w:pPr>
        <w:spacing w:line="360" w:lineRule="auto"/>
        <w:jc w:val="both"/>
      </w:pPr>
    </w:p>
    <w:p w14:paraId="1D05EDF5" w14:textId="77777777" w:rsidR="00704181" w:rsidRDefault="00000000">
      <w:pPr>
        <w:spacing w:line="360" w:lineRule="auto"/>
        <w:jc w:val="both"/>
      </w:pPr>
      <w:r>
        <w:t xml:space="preserve">Calculate the concentrations (mol/L) together with its error, of the three unknown samples of citric acid. To do this, you will have to previously find the equivalence point of each sample. Make the graphs you consider appropriate to find the equivalence point as accurately as possible. Also, you will have to </w:t>
      </w:r>
      <w:proofErr w:type="gramStart"/>
      <w:r>
        <w:t>take into account</w:t>
      </w:r>
      <w:proofErr w:type="gramEnd"/>
      <w:r>
        <w:t xml:space="preserve"> the error of the burette, the aliquot and the concentration of the titrant.</w:t>
      </w:r>
    </w:p>
    <w:p w14:paraId="0786A14E" w14:textId="77777777" w:rsidR="00704181" w:rsidRDefault="00704181">
      <w:pPr>
        <w:spacing w:line="360" w:lineRule="auto"/>
        <w:jc w:val="both"/>
        <w:rPr>
          <w:b/>
          <w:sz w:val="24"/>
          <w:szCs w:val="24"/>
        </w:rPr>
      </w:pPr>
    </w:p>
    <w:p w14:paraId="52E6E3E2" w14:textId="77777777" w:rsidR="00704181" w:rsidRDefault="00000000">
      <w:pPr>
        <w:spacing w:line="360" w:lineRule="auto"/>
        <w:jc w:val="both"/>
        <w:rPr>
          <w:sz w:val="24"/>
          <w:szCs w:val="24"/>
          <w:u w:val="single"/>
        </w:rPr>
      </w:pPr>
      <w:r>
        <w:rPr>
          <w:sz w:val="24"/>
          <w:szCs w:val="24"/>
          <w:u w:val="single"/>
        </w:rPr>
        <w:t>Citric acid 1</w:t>
      </w:r>
    </w:p>
    <w:p w14:paraId="7EC137EE" w14:textId="77777777" w:rsidR="00704181" w:rsidRDefault="00000000">
      <w:pPr>
        <w:spacing w:line="360" w:lineRule="auto"/>
        <w:jc w:val="both"/>
        <w:rPr>
          <w:sz w:val="24"/>
          <w:szCs w:val="24"/>
        </w:rPr>
      </w:pPr>
      <w:r>
        <w:rPr>
          <w:noProof/>
          <w:sz w:val="24"/>
          <w:szCs w:val="24"/>
        </w:rPr>
        <w:drawing>
          <wp:inline distT="114300" distB="114300" distL="114300" distR="114300" wp14:anchorId="794D8ADB" wp14:editId="2ED4EDD8">
            <wp:extent cx="5731200" cy="3060700"/>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731200" cy="3060700"/>
                    </a:xfrm>
                    <a:prstGeom prst="rect">
                      <a:avLst/>
                    </a:prstGeom>
                    <a:ln/>
                  </pic:spPr>
                </pic:pic>
              </a:graphicData>
            </a:graphic>
          </wp:inline>
        </w:drawing>
      </w:r>
    </w:p>
    <w:p w14:paraId="558B95B4" w14:textId="77777777" w:rsidR="00704181" w:rsidRDefault="00000000">
      <w:pPr>
        <w:spacing w:line="360" w:lineRule="auto"/>
        <w:jc w:val="both"/>
        <w:rPr>
          <w:sz w:val="24"/>
          <w:szCs w:val="24"/>
        </w:rPr>
      </w:pPr>
      <w:r>
        <w:rPr>
          <w:noProof/>
          <w:sz w:val="24"/>
          <w:szCs w:val="24"/>
        </w:rPr>
        <w:lastRenderedPageBreak/>
        <w:drawing>
          <wp:inline distT="114300" distB="114300" distL="114300" distR="114300" wp14:anchorId="39B53BBB" wp14:editId="78C13A9D">
            <wp:extent cx="5731200" cy="2755900"/>
            <wp:effectExtent l="0" t="0" r="0" b="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a:stretch>
                      <a:fillRect/>
                    </a:stretch>
                  </pic:blipFill>
                  <pic:spPr>
                    <a:xfrm>
                      <a:off x="0" y="0"/>
                      <a:ext cx="5731200" cy="2755900"/>
                    </a:xfrm>
                    <a:prstGeom prst="rect">
                      <a:avLst/>
                    </a:prstGeom>
                    <a:ln/>
                  </pic:spPr>
                </pic:pic>
              </a:graphicData>
            </a:graphic>
          </wp:inline>
        </w:drawing>
      </w:r>
    </w:p>
    <w:p w14:paraId="66FAF820" w14:textId="77777777" w:rsidR="00704181" w:rsidRDefault="00000000">
      <w:pPr>
        <w:spacing w:line="360" w:lineRule="auto"/>
        <w:jc w:val="both"/>
      </w:pPr>
      <w:r>
        <w:t>The equivalence point is achieved with the volume: 5.20 mL</w:t>
      </w:r>
    </w:p>
    <w:p w14:paraId="450DC661" w14:textId="77777777" w:rsidR="00704181" w:rsidRDefault="00000000">
      <w:pPr>
        <w:spacing w:before="200" w:after="200"/>
        <w:jc w:val="center"/>
        <w:rPr>
          <w:sz w:val="24"/>
          <w:szCs w:val="24"/>
        </w:rPr>
      </w:pPr>
      <m:oMath>
        <m:r>
          <w:rPr>
            <w:rFonts w:ascii="Cambria Math" w:hAnsi="Cambria Math"/>
          </w:rPr>
          <m:t xml:space="preserve">[AcCítr 1] = </m:t>
        </m:r>
        <m:f>
          <m:fPr>
            <m:ctrlPr>
              <w:rPr>
                <w:rFonts w:ascii="Cambria Math" w:hAnsi="Cambria Math"/>
              </w:rPr>
            </m:ctrlPr>
          </m:fPr>
          <m:num>
            <m:r>
              <w:rPr>
                <w:rFonts w:ascii="Cambria Math" w:hAnsi="Cambria Math"/>
              </w:rPr>
              <m:t>5.20 mL· 0.065 M</m:t>
            </m:r>
          </m:num>
          <m:den>
            <m:r>
              <w:rPr>
                <w:rFonts w:ascii="Cambria Math" w:hAnsi="Cambria Math"/>
              </w:rPr>
              <m:t>10 mL</m:t>
            </m:r>
          </m:den>
        </m:f>
      </m:oMath>
      <w:r>
        <w:t xml:space="preserve">= </w:t>
      </w:r>
      <w:r>
        <w:rPr>
          <w:b/>
          <w:color w:val="FF0000"/>
        </w:rPr>
        <w:t xml:space="preserve">0.0338 M </w:t>
      </w:r>
    </w:p>
    <w:p w14:paraId="3C806083" w14:textId="77777777" w:rsidR="00704181" w:rsidRDefault="00704181">
      <w:pPr>
        <w:spacing w:line="360" w:lineRule="auto"/>
        <w:jc w:val="both"/>
        <w:rPr>
          <w:sz w:val="24"/>
          <w:szCs w:val="24"/>
          <w:u w:val="single"/>
        </w:rPr>
      </w:pPr>
    </w:p>
    <w:p w14:paraId="2403634C" w14:textId="77777777" w:rsidR="00704181" w:rsidRDefault="00000000">
      <w:pPr>
        <w:spacing w:line="360" w:lineRule="auto"/>
        <w:jc w:val="both"/>
        <w:rPr>
          <w:sz w:val="24"/>
          <w:szCs w:val="24"/>
          <w:u w:val="single"/>
        </w:rPr>
      </w:pPr>
      <w:r>
        <w:rPr>
          <w:sz w:val="24"/>
          <w:szCs w:val="24"/>
          <w:u w:val="single"/>
        </w:rPr>
        <w:t>Citric acid 2</w:t>
      </w:r>
    </w:p>
    <w:p w14:paraId="31052F0E" w14:textId="77777777" w:rsidR="00704181" w:rsidRDefault="00000000">
      <w:pPr>
        <w:spacing w:line="360" w:lineRule="auto"/>
        <w:jc w:val="both"/>
        <w:rPr>
          <w:sz w:val="24"/>
          <w:szCs w:val="24"/>
        </w:rPr>
      </w:pPr>
      <w:r>
        <w:rPr>
          <w:noProof/>
          <w:sz w:val="24"/>
          <w:szCs w:val="24"/>
        </w:rPr>
        <w:drawing>
          <wp:inline distT="114300" distB="114300" distL="114300" distR="114300" wp14:anchorId="27F29664" wp14:editId="20804FD3">
            <wp:extent cx="5731200" cy="336550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731200" cy="3365500"/>
                    </a:xfrm>
                    <a:prstGeom prst="rect">
                      <a:avLst/>
                    </a:prstGeom>
                    <a:ln/>
                  </pic:spPr>
                </pic:pic>
              </a:graphicData>
            </a:graphic>
          </wp:inline>
        </w:drawing>
      </w:r>
    </w:p>
    <w:p w14:paraId="2EEAFAC3" w14:textId="77777777" w:rsidR="00704181" w:rsidRDefault="00000000">
      <w:pPr>
        <w:spacing w:line="360" w:lineRule="auto"/>
        <w:jc w:val="both"/>
        <w:rPr>
          <w:sz w:val="24"/>
          <w:szCs w:val="24"/>
        </w:rPr>
      </w:pPr>
      <w:r>
        <w:rPr>
          <w:noProof/>
          <w:sz w:val="24"/>
          <w:szCs w:val="24"/>
        </w:rPr>
        <w:lastRenderedPageBreak/>
        <w:drawing>
          <wp:inline distT="114300" distB="114300" distL="114300" distR="114300" wp14:anchorId="75830ECA" wp14:editId="3FDB63FA">
            <wp:extent cx="5731200" cy="3009900"/>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731200" cy="3009900"/>
                    </a:xfrm>
                    <a:prstGeom prst="rect">
                      <a:avLst/>
                    </a:prstGeom>
                    <a:ln/>
                  </pic:spPr>
                </pic:pic>
              </a:graphicData>
            </a:graphic>
          </wp:inline>
        </w:drawing>
      </w:r>
    </w:p>
    <w:p w14:paraId="07A2DA0B" w14:textId="77777777" w:rsidR="00704181" w:rsidRDefault="00704181">
      <w:pPr>
        <w:spacing w:line="360" w:lineRule="auto"/>
        <w:jc w:val="both"/>
        <w:rPr>
          <w:sz w:val="24"/>
          <w:szCs w:val="24"/>
        </w:rPr>
      </w:pPr>
    </w:p>
    <w:p w14:paraId="0D938B40" w14:textId="77777777" w:rsidR="00704181" w:rsidRDefault="00000000">
      <w:pPr>
        <w:spacing w:line="360" w:lineRule="auto"/>
        <w:jc w:val="both"/>
      </w:pPr>
      <w:r>
        <w:t>The equivalence point is achieved with the volume: 4.52 mL</w:t>
      </w:r>
    </w:p>
    <w:p w14:paraId="7051D304" w14:textId="77777777" w:rsidR="00704181" w:rsidRDefault="00000000">
      <w:pPr>
        <w:spacing w:before="200" w:after="200"/>
        <w:jc w:val="center"/>
        <w:rPr>
          <w:sz w:val="24"/>
          <w:szCs w:val="24"/>
        </w:rPr>
      </w:pPr>
      <m:oMath>
        <m:r>
          <w:rPr>
            <w:rFonts w:ascii="Cambria Math" w:hAnsi="Cambria Math"/>
          </w:rPr>
          <m:t xml:space="preserve">[AcCítr 2] = </m:t>
        </m:r>
        <m:f>
          <m:fPr>
            <m:ctrlPr>
              <w:rPr>
                <w:rFonts w:ascii="Cambria Math" w:hAnsi="Cambria Math"/>
              </w:rPr>
            </m:ctrlPr>
          </m:fPr>
          <m:num>
            <m:r>
              <w:rPr>
                <w:rFonts w:ascii="Cambria Math" w:hAnsi="Cambria Math"/>
              </w:rPr>
              <m:t>4.52 mL· 0.065 M</m:t>
            </m:r>
          </m:num>
          <m:den>
            <m:r>
              <w:rPr>
                <w:rFonts w:ascii="Cambria Math" w:hAnsi="Cambria Math"/>
              </w:rPr>
              <m:t>10 mL</m:t>
            </m:r>
          </m:den>
        </m:f>
      </m:oMath>
      <w:r>
        <w:t xml:space="preserve">= </w:t>
      </w:r>
      <w:r>
        <w:rPr>
          <w:b/>
          <w:color w:val="FF0000"/>
        </w:rPr>
        <w:t xml:space="preserve">0.0294 M </w:t>
      </w:r>
    </w:p>
    <w:p w14:paraId="0E192636" w14:textId="77777777" w:rsidR="00704181" w:rsidRDefault="00704181">
      <w:pPr>
        <w:spacing w:line="360" w:lineRule="auto"/>
        <w:jc w:val="both"/>
        <w:rPr>
          <w:b/>
          <w:sz w:val="24"/>
          <w:szCs w:val="24"/>
        </w:rPr>
      </w:pPr>
    </w:p>
    <w:p w14:paraId="75DB8C81" w14:textId="77777777" w:rsidR="00704181" w:rsidRDefault="00704181">
      <w:pPr>
        <w:spacing w:line="360" w:lineRule="auto"/>
        <w:jc w:val="both"/>
        <w:rPr>
          <w:b/>
          <w:sz w:val="24"/>
          <w:szCs w:val="24"/>
        </w:rPr>
      </w:pPr>
    </w:p>
    <w:p w14:paraId="02AA151F" w14:textId="77777777" w:rsidR="00704181" w:rsidRDefault="00000000">
      <w:pPr>
        <w:spacing w:line="360" w:lineRule="auto"/>
        <w:jc w:val="both"/>
        <w:rPr>
          <w:sz w:val="24"/>
          <w:szCs w:val="24"/>
          <w:u w:val="single"/>
        </w:rPr>
      </w:pPr>
      <w:r>
        <w:rPr>
          <w:sz w:val="24"/>
          <w:szCs w:val="24"/>
          <w:u w:val="single"/>
        </w:rPr>
        <w:t>Citric acid 3</w:t>
      </w:r>
    </w:p>
    <w:p w14:paraId="51F8FB3C" w14:textId="77777777" w:rsidR="00704181" w:rsidRDefault="00000000">
      <w:pPr>
        <w:spacing w:line="360" w:lineRule="auto"/>
        <w:jc w:val="center"/>
        <w:rPr>
          <w:sz w:val="24"/>
          <w:szCs w:val="24"/>
        </w:rPr>
      </w:pPr>
      <w:r>
        <w:rPr>
          <w:noProof/>
          <w:sz w:val="24"/>
          <w:szCs w:val="24"/>
        </w:rPr>
        <w:drawing>
          <wp:inline distT="114300" distB="114300" distL="114300" distR="114300" wp14:anchorId="5E974CC1" wp14:editId="6D686745">
            <wp:extent cx="5731200" cy="358140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731200" cy="3581400"/>
                    </a:xfrm>
                    <a:prstGeom prst="rect">
                      <a:avLst/>
                    </a:prstGeom>
                    <a:ln/>
                  </pic:spPr>
                </pic:pic>
              </a:graphicData>
            </a:graphic>
          </wp:inline>
        </w:drawing>
      </w:r>
    </w:p>
    <w:p w14:paraId="57CB16BF" w14:textId="77777777" w:rsidR="00704181" w:rsidRDefault="00000000">
      <w:pPr>
        <w:spacing w:line="360" w:lineRule="auto"/>
        <w:jc w:val="center"/>
        <w:rPr>
          <w:sz w:val="24"/>
          <w:szCs w:val="24"/>
        </w:rPr>
      </w:pPr>
      <w:r>
        <w:rPr>
          <w:noProof/>
          <w:sz w:val="24"/>
          <w:szCs w:val="24"/>
        </w:rPr>
        <w:lastRenderedPageBreak/>
        <w:drawing>
          <wp:inline distT="114300" distB="114300" distL="114300" distR="114300" wp14:anchorId="594EB621" wp14:editId="3BADF7C4">
            <wp:extent cx="5059200" cy="3363971"/>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059200" cy="3363971"/>
                    </a:xfrm>
                    <a:prstGeom prst="rect">
                      <a:avLst/>
                    </a:prstGeom>
                    <a:ln/>
                  </pic:spPr>
                </pic:pic>
              </a:graphicData>
            </a:graphic>
          </wp:inline>
        </w:drawing>
      </w:r>
    </w:p>
    <w:p w14:paraId="25348816" w14:textId="77777777" w:rsidR="00704181" w:rsidRDefault="00704181">
      <w:pPr>
        <w:spacing w:line="360" w:lineRule="auto"/>
        <w:jc w:val="center"/>
        <w:rPr>
          <w:sz w:val="24"/>
          <w:szCs w:val="24"/>
        </w:rPr>
      </w:pPr>
    </w:p>
    <w:p w14:paraId="6B5580A4" w14:textId="77777777" w:rsidR="00704181" w:rsidRDefault="00000000">
      <w:pPr>
        <w:spacing w:line="360" w:lineRule="auto"/>
        <w:jc w:val="both"/>
      </w:pPr>
      <w:r>
        <w:t>The equivalence point is achieved with the volume: 5.09 mL</w:t>
      </w:r>
    </w:p>
    <w:p w14:paraId="4A350CD0" w14:textId="77777777" w:rsidR="00704181" w:rsidRDefault="00000000">
      <w:pPr>
        <w:spacing w:before="200" w:after="200"/>
        <w:jc w:val="center"/>
        <w:rPr>
          <w:b/>
          <w:color w:val="FF0000"/>
        </w:rPr>
      </w:pPr>
      <m:oMath>
        <m:r>
          <w:rPr>
            <w:rFonts w:ascii="Cambria Math" w:hAnsi="Cambria Math"/>
          </w:rPr>
          <m:t xml:space="preserve">[AcCítr] = </m:t>
        </m:r>
        <m:f>
          <m:fPr>
            <m:ctrlPr>
              <w:rPr>
                <w:rFonts w:ascii="Cambria Math" w:hAnsi="Cambria Math"/>
              </w:rPr>
            </m:ctrlPr>
          </m:fPr>
          <m:num>
            <m:r>
              <w:rPr>
                <w:rFonts w:ascii="Cambria Math" w:hAnsi="Cambria Math"/>
              </w:rPr>
              <m:t>5.09 mL· 0.065 M</m:t>
            </m:r>
          </m:num>
          <m:den>
            <m:r>
              <w:rPr>
                <w:rFonts w:ascii="Cambria Math" w:hAnsi="Cambria Math"/>
              </w:rPr>
              <m:t>10 mL</m:t>
            </m:r>
          </m:den>
        </m:f>
      </m:oMath>
      <w:r>
        <w:t xml:space="preserve">= </w:t>
      </w:r>
      <w:r>
        <w:rPr>
          <w:b/>
          <w:color w:val="FF0000"/>
        </w:rPr>
        <w:t xml:space="preserve">0.0331 M </w:t>
      </w:r>
    </w:p>
    <w:p w14:paraId="70395D81" w14:textId="77777777" w:rsidR="00704181" w:rsidRDefault="00704181">
      <w:pPr>
        <w:spacing w:before="200" w:after="200"/>
        <w:jc w:val="both"/>
        <w:rPr>
          <w:b/>
        </w:rPr>
      </w:pPr>
    </w:p>
    <w:p w14:paraId="63C504D0" w14:textId="77777777" w:rsidR="00704181" w:rsidRDefault="00000000">
      <w:pPr>
        <w:spacing w:before="200" w:after="200"/>
        <w:jc w:val="both"/>
      </w:pPr>
      <w:r>
        <w:rPr>
          <w:b/>
        </w:rPr>
        <w:t>Table 2</w:t>
      </w:r>
      <w:r>
        <w:t xml:space="preserve"> shows the results of the concentrations of the samples obtained by analyzing the first derivative (and the second). When talking about this type of acids, the concentrations that are usually handled are g/L. Therefore, </w:t>
      </w:r>
      <w:proofErr w:type="gramStart"/>
      <w:r>
        <w:t>taking into account</w:t>
      </w:r>
      <w:proofErr w:type="gramEnd"/>
      <w:r>
        <w:t xml:space="preserve"> the molecular weight of citric acid (MW=192.13 g/mol), calculate the concentration of the samples in these units.</w:t>
      </w:r>
    </w:p>
    <w:p w14:paraId="18568F95" w14:textId="77777777" w:rsidR="00704181" w:rsidRDefault="00000000">
      <w:pPr>
        <w:spacing w:before="200" w:after="200"/>
        <w:jc w:val="both"/>
      </w:pPr>
      <w:r>
        <w:rPr>
          <w:b/>
          <w:sz w:val="18"/>
          <w:szCs w:val="18"/>
        </w:rPr>
        <w:t xml:space="preserve">Table 2: </w:t>
      </w:r>
      <w:r>
        <w:rPr>
          <w:sz w:val="18"/>
          <w:szCs w:val="18"/>
        </w:rPr>
        <w:t>Results obtained from the unknown samples in mol/L and g/L.</w:t>
      </w: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04181" w14:paraId="7C1EE202" w14:textId="77777777">
        <w:tc>
          <w:tcPr>
            <w:tcW w:w="3009" w:type="dxa"/>
            <w:shd w:val="clear" w:color="auto" w:fill="auto"/>
            <w:tcMar>
              <w:top w:w="100" w:type="dxa"/>
              <w:left w:w="100" w:type="dxa"/>
              <w:bottom w:w="100" w:type="dxa"/>
              <w:right w:w="100" w:type="dxa"/>
            </w:tcMar>
          </w:tcPr>
          <w:p w14:paraId="4BCF0FCF" w14:textId="77777777" w:rsidR="00704181" w:rsidRDefault="00000000">
            <w:pPr>
              <w:widowControl w:val="0"/>
              <w:spacing w:line="240" w:lineRule="auto"/>
              <w:jc w:val="center"/>
            </w:pPr>
            <w:r>
              <w:t>Sample</w:t>
            </w:r>
          </w:p>
        </w:tc>
        <w:tc>
          <w:tcPr>
            <w:tcW w:w="3009" w:type="dxa"/>
            <w:shd w:val="clear" w:color="auto" w:fill="auto"/>
            <w:tcMar>
              <w:top w:w="100" w:type="dxa"/>
              <w:left w:w="100" w:type="dxa"/>
              <w:bottom w:w="100" w:type="dxa"/>
              <w:right w:w="100" w:type="dxa"/>
            </w:tcMar>
          </w:tcPr>
          <w:p w14:paraId="619E5961" w14:textId="77777777" w:rsidR="00704181" w:rsidRDefault="00000000">
            <w:pPr>
              <w:widowControl w:val="0"/>
              <w:spacing w:line="240" w:lineRule="auto"/>
              <w:jc w:val="center"/>
            </w:pPr>
            <w:r>
              <w:t>Concentration (mol/L)</w:t>
            </w:r>
          </w:p>
        </w:tc>
        <w:tc>
          <w:tcPr>
            <w:tcW w:w="3009" w:type="dxa"/>
            <w:shd w:val="clear" w:color="auto" w:fill="auto"/>
            <w:tcMar>
              <w:top w:w="100" w:type="dxa"/>
              <w:left w:w="100" w:type="dxa"/>
              <w:bottom w:w="100" w:type="dxa"/>
              <w:right w:w="100" w:type="dxa"/>
            </w:tcMar>
          </w:tcPr>
          <w:p w14:paraId="12D7CEA2" w14:textId="77777777" w:rsidR="00704181" w:rsidRDefault="00000000">
            <w:pPr>
              <w:widowControl w:val="0"/>
              <w:spacing w:line="240" w:lineRule="auto"/>
              <w:jc w:val="center"/>
            </w:pPr>
            <w:r>
              <w:t>Concentration (g/L)</w:t>
            </w:r>
          </w:p>
        </w:tc>
      </w:tr>
      <w:tr w:rsidR="00704181" w14:paraId="68A18E23" w14:textId="77777777">
        <w:tc>
          <w:tcPr>
            <w:tcW w:w="3009" w:type="dxa"/>
            <w:shd w:val="clear" w:color="auto" w:fill="auto"/>
            <w:tcMar>
              <w:top w:w="100" w:type="dxa"/>
              <w:left w:w="100" w:type="dxa"/>
              <w:bottom w:w="100" w:type="dxa"/>
              <w:right w:w="100" w:type="dxa"/>
            </w:tcMar>
          </w:tcPr>
          <w:p w14:paraId="47D159AB" w14:textId="77777777" w:rsidR="00704181" w:rsidRDefault="00000000">
            <w:pPr>
              <w:widowControl w:val="0"/>
              <w:spacing w:line="240" w:lineRule="auto"/>
              <w:jc w:val="center"/>
            </w:pPr>
            <w:r>
              <w:t xml:space="preserve"> Sample 1</w:t>
            </w:r>
          </w:p>
        </w:tc>
        <w:tc>
          <w:tcPr>
            <w:tcW w:w="3009" w:type="dxa"/>
            <w:shd w:val="clear" w:color="auto" w:fill="auto"/>
            <w:tcMar>
              <w:top w:w="100" w:type="dxa"/>
              <w:left w:w="100" w:type="dxa"/>
              <w:bottom w:w="100" w:type="dxa"/>
              <w:right w:w="100" w:type="dxa"/>
            </w:tcMar>
          </w:tcPr>
          <w:p w14:paraId="4569C12C" w14:textId="77777777" w:rsidR="00704181" w:rsidRDefault="00000000">
            <w:pPr>
              <w:widowControl w:val="0"/>
              <w:spacing w:line="240" w:lineRule="auto"/>
              <w:jc w:val="center"/>
            </w:pPr>
            <w:r>
              <w:t xml:space="preserve">0,0338 </w:t>
            </w:r>
          </w:p>
        </w:tc>
        <w:tc>
          <w:tcPr>
            <w:tcW w:w="3009" w:type="dxa"/>
            <w:shd w:val="clear" w:color="auto" w:fill="auto"/>
            <w:tcMar>
              <w:top w:w="100" w:type="dxa"/>
              <w:left w:w="100" w:type="dxa"/>
              <w:bottom w:w="100" w:type="dxa"/>
              <w:right w:w="100" w:type="dxa"/>
            </w:tcMar>
          </w:tcPr>
          <w:p w14:paraId="05249CD7" w14:textId="77777777" w:rsidR="00704181" w:rsidRDefault="00000000">
            <w:pPr>
              <w:widowControl w:val="0"/>
              <w:spacing w:line="240" w:lineRule="auto"/>
              <w:jc w:val="center"/>
            </w:pPr>
            <w:r>
              <w:t xml:space="preserve">6,49 </w:t>
            </w:r>
          </w:p>
        </w:tc>
      </w:tr>
      <w:tr w:rsidR="00704181" w14:paraId="023401DA" w14:textId="77777777">
        <w:tc>
          <w:tcPr>
            <w:tcW w:w="3009" w:type="dxa"/>
            <w:shd w:val="clear" w:color="auto" w:fill="auto"/>
            <w:tcMar>
              <w:top w:w="100" w:type="dxa"/>
              <w:left w:w="100" w:type="dxa"/>
              <w:bottom w:w="100" w:type="dxa"/>
              <w:right w:w="100" w:type="dxa"/>
            </w:tcMar>
          </w:tcPr>
          <w:p w14:paraId="18D6D119" w14:textId="77777777" w:rsidR="00704181" w:rsidRDefault="00000000">
            <w:pPr>
              <w:widowControl w:val="0"/>
              <w:spacing w:line="240" w:lineRule="auto"/>
              <w:jc w:val="center"/>
            </w:pPr>
            <w:r>
              <w:t>Sample 2</w:t>
            </w:r>
          </w:p>
        </w:tc>
        <w:tc>
          <w:tcPr>
            <w:tcW w:w="3009" w:type="dxa"/>
            <w:shd w:val="clear" w:color="auto" w:fill="auto"/>
            <w:tcMar>
              <w:top w:w="100" w:type="dxa"/>
              <w:left w:w="100" w:type="dxa"/>
              <w:bottom w:w="100" w:type="dxa"/>
              <w:right w:w="100" w:type="dxa"/>
            </w:tcMar>
          </w:tcPr>
          <w:p w14:paraId="042073A4" w14:textId="77777777" w:rsidR="00704181" w:rsidRDefault="00000000">
            <w:pPr>
              <w:widowControl w:val="0"/>
              <w:spacing w:line="240" w:lineRule="auto"/>
              <w:jc w:val="center"/>
            </w:pPr>
            <w:r>
              <w:t xml:space="preserve">0,0294 </w:t>
            </w:r>
          </w:p>
        </w:tc>
        <w:tc>
          <w:tcPr>
            <w:tcW w:w="3009" w:type="dxa"/>
            <w:shd w:val="clear" w:color="auto" w:fill="auto"/>
            <w:tcMar>
              <w:top w:w="100" w:type="dxa"/>
              <w:left w:w="100" w:type="dxa"/>
              <w:bottom w:w="100" w:type="dxa"/>
              <w:right w:w="100" w:type="dxa"/>
            </w:tcMar>
          </w:tcPr>
          <w:p w14:paraId="6C011FF6" w14:textId="77777777" w:rsidR="00704181" w:rsidRDefault="00000000">
            <w:pPr>
              <w:widowControl w:val="0"/>
              <w:spacing w:line="240" w:lineRule="auto"/>
              <w:jc w:val="center"/>
            </w:pPr>
            <w:r>
              <w:t xml:space="preserve">5,65 </w:t>
            </w:r>
          </w:p>
        </w:tc>
      </w:tr>
      <w:tr w:rsidR="00704181" w14:paraId="5A637F1A" w14:textId="77777777">
        <w:tc>
          <w:tcPr>
            <w:tcW w:w="3009" w:type="dxa"/>
            <w:shd w:val="clear" w:color="auto" w:fill="auto"/>
            <w:tcMar>
              <w:top w:w="100" w:type="dxa"/>
              <w:left w:w="100" w:type="dxa"/>
              <w:bottom w:w="100" w:type="dxa"/>
              <w:right w:w="100" w:type="dxa"/>
            </w:tcMar>
          </w:tcPr>
          <w:p w14:paraId="2037C7D0" w14:textId="77777777" w:rsidR="00704181" w:rsidRDefault="00000000">
            <w:pPr>
              <w:widowControl w:val="0"/>
              <w:spacing w:line="240" w:lineRule="auto"/>
              <w:jc w:val="center"/>
            </w:pPr>
            <w:r>
              <w:t>Sample 3</w:t>
            </w:r>
          </w:p>
        </w:tc>
        <w:tc>
          <w:tcPr>
            <w:tcW w:w="3009" w:type="dxa"/>
            <w:shd w:val="clear" w:color="auto" w:fill="auto"/>
            <w:tcMar>
              <w:top w:w="100" w:type="dxa"/>
              <w:left w:w="100" w:type="dxa"/>
              <w:bottom w:w="100" w:type="dxa"/>
              <w:right w:w="100" w:type="dxa"/>
            </w:tcMar>
          </w:tcPr>
          <w:p w14:paraId="16F93236" w14:textId="77777777" w:rsidR="00704181" w:rsidRDefault="00000000">
            <w:pPr>
              <w:widowControl w:val="0"/>
              <w:spacing w:line="240" w:lineRule="auto"/>
              <w:jc w:val="center"/>
            </w:pPr>
            <w:r>
              <w:t xml:space="preserve">0,0331 </w:t>
            </w:r>
          </w:p>
        </w:tc>
        <w:tc>
          <w:tcPr>
            <w:tcW w:w="3009" w:type="dxa"/>
            <w:shd w:val="clear" w:color="auto" w:fill="auto"/>
            <w:tcMar>
              <w:top w:w="100" w:type="dxa"/>
              <w:left w:w="100" w:type="dxa"/>
              <w:bottom w:w="100" w:type="dxa"/>
              <w:right w:w="100" w:type="dxa"/>
            </w:tcMar>
          </w:tcPr>
          <w:p w14:paraId="7107FC35" w14:textId="77777777" w:rsidR="00704181" w:rsidRDefault="00000000">
            <w:pPr>
              <w:widowControl w:val="0"/>
              <w:spacing w:line="240" w:lineRule="auto"/>
              <w:jc w:val="center"/>
            </w:pPr>
            <w:r>
              <w:t xml:space="preserve">6,36 </w:t>
            </w:r>
          </w:p>
        </w:tc>
      </w:tr>
      <w:tr w:rsidR="00704181" w14:paraId="6946A089" w14:textId="77777777">
        <w:tc>
          <w:tcPr>
            <w:tcW w:w="3009" w:type="dxa"/>
            <w:shd w:val="clear" w:color="auto" w:fill="auto"/>
            <w:tcMar>
              <w:top w:w="100" w:type="dxa"/>
              <w:left w:w="100" w:type="dxa"/>
              <w:bottom w:w="100" w:type="dxa"/>
              <w:right w:w="100" w:type="dxa"/>
            </w:tcMar>
          </w:tcPr>
          <w:p w14:paraId="36100068" w14:textId="77777777" w:rsidR="00704181" w:rsidRDefault="00000000">
            <w:pPr>
              <w:widowControl w:val="0"/>
              <w:spacing w:line="240" w:lineRule="auto"/>
              <w:jc w:val="center"/>
            </w:pPr>
            <w:r>
              <w:rPr>
                <w:highlight w:val="white"/>
              </w:rPr>
              <w:t>Average</w:t>
            </w:r>
          </w:p>
        </w:tc>
        <w:tc>
          <w:tcPr>
            <w:tcW w:w="3009" w:type="dxa"/>
            <w:shd w:val="clear" w:color="auto" w:fill="auto"/>
            <w:tcMar>
              <w:top w:w="100" w:type="dxa"/>
              <w:left w:w="100" w:type="dxa"/>
              <w:bottom w:w="100" w:type="dxa"/>
              <w:right w:w="100" w:type="dxa"/>
            </w:tcMar>
          </w:tcPr>
          <w:p w14:paraId="1EEC6834" w14:textId="77777777" w:rsidR="00704181" w:rsidRDefault="00000000">
            <w:pPr>
              <w:widowControl w:val="0"/>
              <w:spacing w:line="240" w:lineRule="auto"/>
              <w:jc w:val="center"/>
            </w:pPr>
            <w:r>
              <w:t>0,0321</w:t>
            </w:r>
          </w:p>
        </w:tc>
        <w:tc>
          <w:tcPr>
            <w:tcW w:w="3009" w:type="dxa"/>
            <w:shd w:val="clear" w:color="auto" w:fill="auto"/>
            <w:tcMar>
              <w:top w:w="100" w:type="dxa"/>
              <w:left w:w="100" w:type="dxa"/>
              <w:bottom w:w="100" w:type="dxa"/>
              <w:right w:w="100" w:type="dxa"/>
            </w:tcMar>
          </w:tcPr>
          <w:p w14:paraId="6E66653C" w14:textId="77777777" w:rsidR="00704181" w:rsidRDefault="00000000">
            <w:pPr>
              <w:widowControl w:val="0"/>
              <w:spacing w:line="240" w:lineRule="auto"/>
              <w:jc w:val="center"/>
            </w:pPr>
            <w:r>
              <w:t xml:space="preserve">6,17 </w:t>
            </w:r>
          </w:p>
        </w:tc>
      </w:tr>
    </w:tbl>
    <w:p w14:paraId="55899DC8" w14:textId="77777777" w:rsidR="00704181" w:rsidRDefault="00704181">
      <w:pPr>
        <w:spacing w:before="200" w:after="200"/>
        <w:jc w:val="both"/>
        <w:rPr>
          <w:sz w:val="18"/>
          <w:szCs w:val="18"/>
        </w:rPr>
      </w:pPr>
    </w:p>
    <w:p w14:paraId="07D8D41A" w14:textId="29339019" w:rsidR="00704181" w:rsidRDefault="00704181">
      <w:pPr>
        <w:spacing w:before="200" w:after="200"/>
        <w:jc w:val="both"/>
        <w:rPr>
          <w:sz w:val="18"/>
          <w:szCs w:val="18"/>
        </w:rPr>
      </w:pPr>
    </w:p>
    <w:p w14:paraId="244D91D5" w14:textId="77777777" w:rsidR="00704181" w:rsidRDefault="00704181">
      <w:pPr>
        <w:spacing w:before="200" w:after="200"/>
        <w:jc w:val="both"/>
        <w:rPr>
          <w:sz w:val="18"/>
          <w:szCs w:val="18"/>
        </w:rPr>
      </w:pPr>
    </w:p>
    <w:tbl>
      <w:tblPr>
        <w:tblStyle w:val="af"/>
        <w:tblW w:w="9029" w:type="dxa"/>
        <w:tblInd w:w="0" w:type="dxa"/>
        <w:tblLayout w:type="fixed"/>
        <w:tblLook w:val="0600" w:firstRow="0" w:lastRow="0" w:firstColumn="0" w:lastColumn="0" w:noHBand="1" w:noVBand="1"/>
      </w:tblPr>
      <w:tblGrid>
        <w:gridCol w:w="9029"/>
      </w:tblGrid>
      <w:tr w:rsidR="00704181" w14:paraId="12FDC65B" w14:textId="77777777">
        <w:tc>
          <w:tcPr>
            <w:tcW w:w="9029" w:type="dxa"/>
            <w:shd w:val="clear" w:color="auto" w:fill="6AA84F"/>
            <w:tcMar>
              <w:top w:w="-13" w:type="dxa"/>
              <w:left w:w="-13" w:type="dxa"/>
              <w:bottom w:w="-13" w:type="dxa"/>
              <w:right w:w="-13" w:type="dxa"/>
            </w:tcMar>
          </w:tcPr>
          <w:p w14:paraId="4EE06E8C" w14:textId="77777777" w:rsidR="00704181" w:rsidRDefault="00000000">
            <w:pPr>
              <w:pStyle w:val="Ttulo1"/>
              <w:spacing w:before="0" w:after="0"/>
              <w:jc w:val="center"/>
              <w:rPr>
                <w:b/>
                <w:color w:val="FFFFFF"/>
                <w:sz w:val="36"/>
                <w:szCs w:val="36"/>
              </w:rPr>
            </w:pPr>
            <w:bookmarkStart w:id="6" w:name="_heading=h.tyjcwt" w:colFirst="0" w:colLast="0"/>
            <w:bookmarkEnd w:id="6"/>
            <w:r>
              <w:rPr>
                <w:b/>
                <w:color w:val="FFFFFF"/>
                <w:sz w:val="36"/>
                <w:szCs w:val="36"/>
              </w:rPr>
              <w:lastRenderedPageBreak/>
              <w:t>Conclusions</w:t>
            </w:r>
          </w:p>
        </w:tc>
      </w:tr>
    </w:tbl>
    <w:p w14:paraId="2CAF4E34" w14:textId="77777777" w:rsidR="00704181" w:rsidRDefault="00704181">
      <w:pPr>
        <w:spacing w:line="360" w:lineRule="auto"/>
        <w:jc w:val="both"/>
        <w:rPr>
          <w:sz w:val="24"/>
          <w:szCs w:val="24"/>
        </w:rPr>
      </w:pPr>
    </w:p>
    <w:p w14:paraId="5C57DCC2" w14:textId="3E2C7E98" w:rsidR="00704181" w:rsidRDefault="00000000">
      <w:pPr>
        <w:spacing w:line="360" w:lineRule="auto"/>
        <w:jc w:val="both"/>
        <w:rPr>
          <w:b/>
        </w:rPr>
      </w:pPr>
      <w:r>
        <w:rPr>
          <w:b/>
        </w:rPr>
        <w:t xml:space="preserve">Discussion of the results. Do the sample concentrations </w:t>
      </w:r>
      <w:r w:rsidR="00664CB9">
        <w:rPr>
          <w:b/>
        </w:rPr>
        <w:t>come</w:t>
      </w:r>
      <w:r>
        <w:rPr>
          <w:b/>
        </w:rPr>
        <w:t xml:space="preserve"> from the same unknown sample? What is the effect of pH in this experiment?</w:t>
      </w:r>
    </w:p>
    <w:p w14:paraId="31BCDD56" w14:textId="026EB6D7" w:rsidR="00704181" w:rsidRDefault="00000000">
      <w:pPr>
        <w:spacing w:line="360" w:lineRule="auto"/>
        <w:jc w:val="both"/>
      </w:pPr>
      <w:r>
        <w:t xml:space="preserve">Regarding the molarity of the citric acid samples, they come from the same unknown sample, since they have very similar concentrations, which indicates that they are replicas, that is, the sample </w:t>
      </w:r>
      <w:r w:rsidR="00664CB9">
        <w:t>comes</w:t>
      </w:r>
      <w:r>
        <w:t xml:space="preserve"> from the same sample. The pH increases as the volume increases, this is due to the neutralization reaction.</w:t>
      </w:r>
    </w:p>
    <w:p w14:paraId="3584046F" w14:textId="77777777" w:rsidR="00704181" w:rsidRDefault="00704181">
      <w:pPr>
        <w:spacing w:line="360" w:lineRule="auto"/>
        <w:jc w:val="both"/>
      </w:pPr>
    </w:p>
    <w:p w14:paraId="24AAE826" w14:textId="77777777" w:rsidR="00704181" w:rsidRDefault="00000000">
      <w:pPr>
        <w:spacing w:line="360" w:lineRule="auto"/>
        <w:jc w:val="both"/>
        <w:rPr>
          <w:b/>
        </w:rPr>
      </w:pPr>
      <w:r>
        <w:rPr>
          <w:b/>
        </w:rPr>
        <w:t>What is the indicator used for? How does it act in the presence of acid and how in a basic medium?</w:t>
      </w:r>
    </w:p>
    <w:p w14:paraId="4B98BAC4" w14:textId="77777777" w:rsidR="00704181" w:rsidRDefault="00000000">
      <w:pPr>
        <w:spacing w:line="360" w:lineRule="auto"/>
        <w:jc w:val="both"/>
      </w:pPr>
      <w:r>
        <w:t>The indicator serves to know when the neutralization has occurred. In acid it is colorless and as it basifies, it turns pink or violet.</w:t>
      </w:r>
    </w:p>
    <w:p w14:paraId="3D41DD8D" w14:textId="77777777" w:rsidR="00704181" w:rsidRDefault="00704181">
      <w:pPr>
        <w:spacing w:line="360" w:lineRule="auto"/>
        <w:jc w:val="both"/>
      </w:pPr>
    </w:p>
    <w:p w14:paraId="22DD36BA" w14:textId="77777777" w:rsidR="00704181" w:rsidRDefault="00000000">
      <w:pPr>
        <w:spacing w:line="360" w:lineRule="auto"/>
        <w:jc w:val="both"/>
        <w:rPr>
          <w:b/>
        </w:rPr>
      </w:pPr>
      <w:r>
        <w:rPr>
          <w:b/>
        </w:rPr>
        <w:t>What utensils would you use to perform this experiment?</w:t>
      </w:r>
    </w:p>
    <w:p w14:paraId="1B894282" w14:textId="77777777" w:rsidR="00704181" w:rsidRDefault="00000000">
      <w:pPr>
        <w:spacing w:line="360" w:lineRule="auto"/>
        <w:jc w:val="both"/>
      </w:pPr>
      <w:r>
        <w:t>Burette, Erlenmeyer or beaker, fly (to homogenize) and its base, phenolphthalein indicator, sodium hydroxide and acid with unknown molarity. A pH and discharge volume meter would also be needed.</w:t>
      </w:r>
    </w:p>
    <w:p w14:paraId="7BC92CE5" w14:textId="77777777" w:rsidR="00704181" w:rsidRDefault="00704181">
      <w:pPr>
        <w:spacing w:before="200" w:after="200"/>
        <w:jc w:val="center"/>
        <w:rPr>
          <w:sz w:val="24"/>
          <w:szCs w:val="24"/>
        </w:rPr>
      </w:pPr>
    </w:p>
    <w:tbl>
      <w:tblPr>
        <w:tblStyle w:val="af0"/>
        <w:tblW w:w="9029" w:type="dxa"/>
        <w:tblInd w:w="0" w:type="dxa"/>
        <w:tblLayout w:type="fixed"/>
        <w:tblLook w:val="0600" w:firstRow="0" w:lastRow="0" w:firstColumn="0" w:lastColumn="0" w:noHBand="1" w:noVBand="1"/>
      </w:tblPr>
      <w:tblGrid>
        <w:gridCol w:w="9029"/>
      </w:tblGrid>
      <w:tr w:rsidR="00704181" w14:paraId="0B85903C" w14:textId="77777777">
        <w:tc>
          <w:tcPr>
            <w:tcW w:w="9029" w:type="dxa"/>
            <w:shd w:val="clear" w:color="auto" w:fill="6AA84F"/>
            <w:tcMar>
              <w:top w:w="-13" w:type="dxa"/>
              <w:left w:w="-13" w:type="dxa"/>
              <w:bottom w:w="-13" w:type="dxa"/>
              <w:right w:w="-13" w:type="dxa"/>
            </w:tcMar>
          </w:tcPr>
          <w:p w14:paraId="6FCC4BD1" w14:textId="77777777" w:rsidR="00704181" w:rsidRDefault="00000000">
            <w:pPr>
              <w:pStyle w:val="Ttulo1"/>
              <w:spacing w:before="0" w:after="0"/>
              <w:jc w:val="center"/>
              <w:rPr>
                <w:b/>
                <w:color w:val="FFFFFF"/>
                <w:sz w:val="36"/>
                <w:szCs w:val="36"/>
              </w:rPr>
            </w:pPr>
            <w:bookmarkStart w:id="7" w:name="_heading=h.3dy6vkm" w:colFirst="0" w:colLast="0"/>
            <w:bookmarkEnd w:id="7"/>
            <w:r>
              <w:rPr>
                <w:b/>
                <w:color w:val="FFFFFF"/>
                <w:sz w:val="36"/>
                <w:szCs w:val="36"/>
              </w:rPr>
              <w:t>Bibliography</w:t>
            </w:r>
          </w:p>
        </w:tc>
      </w:tr>
    </w:tbl>
    <w:p w14:paraId="1DFAF24A" w14:textId="77777777" w:rsidR="00704181" w:rsidRDefault="00704181">
      <w:pPr>
        <w:spacing w:line="360" w:lineRule="auto"/>
        <w:rPr>
          <w:rFonts w:ascii="Verdana" w:eastAsia="Verdana" w:hAnsi="Verdana" w:cs="Verdana"/>
          <w:sz w:val="24"/>
          <w:szCs w:val="24"/>
        </w:rPr>
      </w:pPr>
    </w:p>
    <w:p w14:paraId="3F2DC5F8" w14:textId="77777777" w:rsidR="00704181" w:rsidRDefault="00000000">
      <w:pPr>
        <w:numPr>
          <w:ilvl w:val="0"/>
          <w:numId w:val="2"/>
        </w:numPr>
        <w:spacing w:line="360" w:lineRule="auto"/>
      </w:pPr>
      <w:proofErr w:type="spellStart"/>
      <w:r>
        <w:t>Skoo</w:t>
      </w:r>
      <w:proofErr w:type="spellEnd"/>
      <w:r>
        <w:t xml:space="preserve"> AD, West DM, Holler FJ, Crouch SR (2005). </w:t>
      </w:r>
      <w:r>
        <w:rPr>
          <w:i/>
        </w:rPr>
        <w:t xml:space="preserve">Analytical </w:t>
      </w:r>
      <w:proofErr w:type="gramStart"/>
      <w:r>
        <w:rPr>
          <w:i/>
        </w:rPr>
        <w:t xml:space="preserve">Chemistry </w:t>
      </w:r>
      <w:r>
        <w:t>,</w:t>
      </w:r>
      <w:proofErr w:type="gramEnd"/>
      <w:r>
        <w:t xml:space="preserve"> 7th Ed., Mexico: McGraw-Hill.</w:t>
      </w:r>
    </w:p>
    <w:sectPr w:rsidR="00704181">
      <w:headerReference w:type="default" r:id="rId28"/>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54EA6" w14:textId="77777777" w:rsidR="00612B8B" w:rsidRDefault="00612B8B">
      <w:pPr>
        <w:spacing w:line="240" w:lineRule="auto"/>
      </w:pPr>
      <w:r>
        <w:separator/>
      </w:r>
    </w:p>
  </w:endnote>
  <w:endnote w:type="continuationSeparator" w:id="0">
    <w:p w14:paraId="10F120A5" w14:textId="77777777" w:rsidR="00612B8B" w:rsidRDefault="00612B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Arimo">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718E8" w14:textId="77777777" w:rsidR="00612B8B" w:rsidRDefault="00612B8B">
      <w:pPr>
        <w:spacing w:line="240" w:lineRule="auto"/>
      </w:pPr>
      <w:r>
        <w:separator/>
      </w:r>
    </w:p>
  </w:footnote>
  <w:footnote w:type="continuationSeparator" w:id="0">
    <w:p w14:paraId="55D8546E" w14:textId="77777777" w:rsidR="00612B8B" w:rsidRDefault="00612B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C8FD" w14:textId="76310894" w:rsidR="00704181" w:rsidRDefault="00000000">
    <w:pPr>
      <w:ind w:left="1842" w:right="-40"/>
      <w:jc w:val="both"/>
    </w:pPr>
    <w:r>
      <w:fldChar w:fldCharType="begin"/>
    </w:r>
    <w:r>
      <w:instrText>HYPERLINK "https://labsland.com/es/labs/titration" \h</w:instrText>
    </w:r>
    <w:r>
      <w:fldChar w:fldCharType="separate"/>
    </w:r>
    <w:r>
      <w:rPr>
        <w:rFonts w:ascii="Calibri" w:eastAsia="Calibri" w:hAnsi="Calibri" w:cs="Calibri"/>
        <w:i/>
        <w:color w:val="1155CC"/>
        <w:sz w:val="18"/>
        <w:szCs w:val="18"/>
        <w:u w:val="single"/>
      </w:rPr>
      <w:t>Acid base titration</w:t>
    </w:r>
    <w:r>
      <w:rPr>
        <w:rFonts w:ascii="Calibri" w:eastAsia="Calibri" w:hAnsi="Calibri" w:cs="Calibri"/>
        <w:i/>
        <w:color w:val="1155CC"/>
        <w:sz w:val="18"/>
        <w:szCs w:val="18"/>
        <w:u w:val="single"/>
      </w:rPr>
      <w:fldChar w:fldCharType="end"/>
    </w:r>
    <w:r>
      <w:rPr>
        <w:rFonts w:ascii="Calibri" w:eastAsia="Calibri" w:hAnsi="Calibri" w:cs="Calibri"/>
        <w:i/>
        <w:sz w:val="18"/>
        <w:szCs w:val="18"/>
      </w:rPr>
      <w:t xml:space="preserve"> lab. Its original author is Eric Montero </w:t>
    </w:r>
    <w:proofErr w:type="gramStart"/>
    <w:r>
      <w:rPr>
        <w:rFonts w:ascii="Calibri" w:eastAsia="Calibri" w:hAnsi="Calibri" w:cs="Calibri"/>
        <w:i/>
        <w:sz w:val="18"/>
        <w:szCs w:val="18"/>
      </w:rPr>
      <w:t>Miranda</w:t>
    </w:r>
    <w:proofErr w:type="gramEnd"/>
    <w:r>
      <w:rPr>
        <w:rFonts w:ascii="Calibri" w:eastAsia="Calibri" w:hAnsi="Calibri" w:cs="Calibri"/>
        <w:i/>
        <w:sz w:val="18"/>
        <w:szCs w:val="18"/>
      </w:rPr>
      <w:t xml:space="preserve"> and it has been adapted by </w:t>
    </w:r>
    <w:proofErr w:type="spellStart"/>
    <w:r>
      <w:rPr>
        <w:rFonts w:ascii="Calibri" w:eastAsia="Calibri" w:hAnsi="Calibri" w:cs="Calibri"/>
        <w:i/>
        <w:sz w:val="18"/>
        <w:szCs w:val="18"/>
      </w:rPr>
      <w:t>LabsLand</w:t>
    </w:r>
    <w:proofErr w:type="spellEnd"/>
    <w:r>
      <w:rPr>
        <w:rFonts w:ascii="Calibri" w:eastAsia="Calibri" w:hAnsi="Calibri" w:cs="Calibri"/>
        <w:i/>
        <w:sz w:val="18"/>
        <w:szCs w:val="18"/>
      </w:rPr>
      <w:t xml:space="preserve">. There are more activities at </w:t>
    </w:r>
    <w:hyperlink r:id="rId1">
      <w:r>
        <w:rPr>
          <w:rFonts w:ascii="Calibri" w:eastAsia="Calibri" w:hAnsi="Calibri" w:cs="Calibri"/>
          <w:i/>
          <w:color w:val="1155CC"/>
          <w:sz w:val="18"/>
          <w:szCs w:val="18"/>
          <w:u w:val="single"/>
        </w:rPr>
        <w:t xml:space="preserve">https://labsland.com/es </w:t>
      </w:r>
    </w:hyperlink>
    <w:r>
      <w:rPr>
        <w:rFonts w:ascii="Calibri" w:eastAsia="Calibri" w:hAnsi="Calibri" w:cs="Calibri"/>
        <w:i/>
        <w:sz w:val="18"/>
        <w:szCs w:val="18"/>
      </w:rPr>
      <w:t>. If you are a teacher and want to be able to practice with real equipment for your classes in a simple and online way, visit us!</w:t>
    </w:r>
    <w:r>
      <w:rPr>
        <w:noProof/>
      </w:rPr>
      <w:drawing>
        <wp:anchor distT="0" distB="0" distL="114300" distR="114300" simplePos="0" relativeHeight="251658240" behindDoc="0" locked="0" layoutInCell="1" hidden="0" allowOverlap="1" wp14:anchorId="0C829663" wp14:editId="08CFFE01">
          <wp:simplePos x="0" y="0"/>
          <wp:positionH relativeFrom="column">
            <wp:posOffset>295275</wp:posOffset>
          </wp:positionH>
          <wp:positionV relativeFrom="paragraph">
            <wp:posOffset>47625</wp:posOffset>
          </wp:positionV>
          <wp:extent cx="734060" cy="433705"/>
          <wp:effectExtent l="0" t="0" r="0" b="0"/>
          <wp:wrapSquare wrapText="bothSides" distT="0" distB="0" distL="114300" distR="114300"/>
          <wp:docPr id="40" name="image17.png" descr="LabsLand - Página principal"/>
          <wp:cNvGraphicFramePr/>
          <a:graphic xmlns:a="http://schemas.openxmlformats.org/drawingml/2006/main">
            <a:graphicData uri="http://schemas.openxmlformats.org/drawingml/2006/picture">
              <pic:pic xmlns:pic="http://schemas.openxmlformats.org/drawingml/2006/picture">
                <pic:nvPicPr>
                  <pic:cNvPr id="0" name="image17.png" descr="LabsLand - Página principal"/>
                  <pic:cNvPicPr preferRelativeResize="0"/>
                </pic:nvPicPr>
                <pic:blipFill>
                  <a:blip r:embed="rId2"/>
                  <a:srcRect/>
                  <a:stretch>
                    <a:fillRect/>
                  </a:stretch>
                </pic:blipFill>
                <pic:spPr>
                  <a:xfrm>
                    <a:off x="0" y="0"/>
                    <a:ext cx="734060" cy="43370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E501C05" wp14:editId="524FB35F">
          <wp:simplePos x="0" y="0"/>
          <wp:positionH relativeFrom="column">
            <wp:posOffset>-171448</wp:posOffset>
          </wp:positionH>
          <wp:positionV relativeFrom="paragraph">
            <wp:posOffset>9528</wp:posOffset>
          </wp:positionV>
          <wp:extent cx="396459" cy="511743"/>
          <wp:effectExtent l="0" t="0" r="0" b="0"/>
          <wp:wrapSquare wrapText="bothSides" distT="114300" distB="114300" distL="114300" distR="114300"/>
          <wp:docPr id="39" name="image10.png" descr="Bibliotecología UNED - Bibliotecología en Costa Rica"/>
          <wp:cNvGraphicFramePr/>
          <a:graphic xmlns:a="http://schemas.openxmlformats.org/drawingml/2006/main">
            <a:graphicData uri="http://schemas.openxmlformats.org/drawingml/2006/picture">
              <pic:pic xmlns:pic="http://schemas.openxmlformats.org/drawingml/2006/picture">
                <pic:nvPicPr>
                  <pic:cNvPr id="0" name="image10.png" descr="Bibliotecología UNED - Bibliotecología en Costa Rica"/>
                  <pic:cNvPicPr preferRelativeResize="0"/>
                </pic:nvPicPr>
                <pic:blipFill>
                  <a:blip r:embed="rId3"/>
                  <a:srcRect/>
                  <a:stretch>
                    <a:fillRect/>
                  </a:stretch>
                </pic:blipFill>
                <pic:spPr>
                  <a:xfrm>
                    <a:off x="0" y="0"/>
                    <a:ext cx="396459" cy="5117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F020D"/>
    <w:multiLevelType w:val="multilevel"/>
    <w:tmpl w:val="D480C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46047F"/>
    <w:multiLevelType w:val="multilevel"/>
    <w:tmpl w:val="5CDE0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7693235">
    <w:abstractNumId w:val="1"/>
  </w:num>
  <w:num w:numId="2" w16cid:durableId="651107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81"/>
    <w:rsid w:val="00612B8B"/>
    <w:rsid w:val="00664CB9"/>
    <w:rsid w:val="007041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BB2DA"/>
  <w15:docId w15:val="{3DC032E7-5A7D-4C27-91EA-6878D2722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664CB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64CB9"/>
  </w:style>
  <w:style w:type="paragraph" w:styleId="Piedepgina">
    <w:name w:val="footer"/>
    <w:basedOn w:val="Normal"/>
    <w:link w:val="PiedepginaCar"/>
    <w:uiPriority w:val="99"/>
    <w:unhideWhenUsed/>
    <w:rsid w:val="00664CB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64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hyperlink" Target="https://labsland.co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mCiqpilnAS/AFGJ2yFLVRVALfg==">AMUW2mXC0unC1qw8yekOUaY9PiaDXYsevWO/UhfJEm6lyQ7tH3yv9cLWDLKnXf4N9ZS4kk8XQZeT5zBNGtHp7uRX4+ml5nAnq3vhrXpyLjDzjmio+EHULRbdz4hlLiBzkiSyjtu6uPMRs/EKkkExKcP35QIuqzpiFi0/24QmmeWfM4ffnEzRrd8JwhKNg8LqLdjvIic4oaklAhEtiPAYx6jiA8cK1Bl20dvz1zNVOO8qMXvSI5uHwWjct7ISu5M0gQPkc0aAnRFIbQrsUX9XEUlZbyr+HIriexVIoHola/TCg7rmN69cnPhnK4bqFX93BbnShj0fkUrl0LyhgnBnImPhsEc+mrcLKI0oJ7OEFdeSkglonfOXnEPWN/r7glS2hxHNv5q1RCmHWvcFvrAuRNeZDUYIsJNeCy6M10r3V2Dpp9QKYVuxXiK8zbsVcJwAiMwxo72//w+AgFCPFbpNwfylsGw5i+Sg6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1754</Words>
  <Characters>9650</Characters>
  <Application>Microsoft Office Word</Application>
  <DocSecurity>0</DocSecurity>
  <Lines>80</Lines>
  <Paragraphs>22</Paragraphs>
  <ScaleCrop>false</ScaleCrop>
  <Company/>
  <LinksUpToDate>false</LinksUpToDate>
  <CharactersWithSpaces>11382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sustatxa</dc:creator>
  <cp:lastModifiedBy>esteban sustatxa</cp:lastModifiedBy>
  <cp:revision>2</cp:revision>
  <dcterms:created xsi:type="dcterms:W3CDTF">2022-10-17T14:49:00Z</dcterms:created>
  <dcterms:modified xsi:type="dcterms:W3CDTF">2022-10-17T14:49:00Z</dcterms:modified>
</cp:coreProperties>
</file>