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1ADD8" w14:textId="77777777" w:rsidR="007A5E3C" w:rsidRDefault="007A5E3C"/>
    <w:p w14:paraId="04D73654" w14:textId="77777777" w:rsidR="007A5E3C" w:rsidRDefault="007A5E3C"/>
    <w:p w14:paraId="4F4BD58F" w14:textId="77777777" w:rsidR="007A5E3C" w:rsidRDefault="007A5E3C"/>
    <w:p w14:paraId="2B4CACC3" w14:textId="77777777" w:rsidR="007A5E3C" w:rsidRDefault="007A5E3C">
      <w:pPr>
        <w:rPr>
          <w:sz w:val="24"/>
          <w:szCs w:val="24"/>
        </w:rPr>
      </w:pPr>
    </w:p>
    <w:p w14:paraId="378C7834" w14:textId="77777777" w:rsidR="007A5E3C" w:rsidRDefault="007A5E3C">
      <w:pPr>
        <w:rPr>
          <w:sz w:val="24"/>
          <w:szCs w:val="24"/>
        </w:rPr>
      </w:pPr>
    </w:p>
    <w:p w14:paraId="22EC21AF" w14:textId="77777777" w:rsidR="007A5E3C" w:rsidRDefault="007A5E3C">
      <w:pPr>
        <w:rPr>
          <w:sz w:val="24"/>
          <w:szCs w:val="24"/>
        </w:rPr>
      </w:pPr>
    </w:p>
    <w:p w14:paraId="57D4F24A" w14:textId="77777777" w:rsidR="007A5E3C" w:rsidRDefault="00000000">
      <w:pPr>
        <w:rPr>
          <w:sz w:val="24"/>
          <w:szCs w:val="24"/>
        </w:rPr>
      </w:pPr>
      <w:r>
        <w:rPr>
          <w:noProof/>
        </w:rPr>
        <w:drawing>
          <wp:anchor distT="114300" distB="114300" distL="114300" distR="114300" simplePos="0" relativeHeight="251658240" behindDoc="0" locked="0" layoutInCell="1" hidden="0" allowOverlap="1" wp14:anchorId="50EA7AB2" wp14:editId="4E71E83D">
            <wp:simplePos x="0" y="0"/>
            <wp:positionH relativeFrom="column">
              <wp:posOffset>857250</wp:posOffset>
            </wp:positionH>
            <wp:positionV relativeFrom="paragraph">
              <wp:posOffset>118821</wp:posOffset>
            </wp:positionV>
            <wp:extent cx="1443038" cy="1837831"/>
            <wp:effectExtent l="0" t="0" r="0" b="0"/>
            <wp:wrapSquare wrapText="bothSides" distT="114300" distB="114300" distL="114300" distR="11430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b="8626"/>
                    <a:stretch>
                      <a:fillRect/>
                    </a:stretch>
                  </pic:blipFill>
                  <pic:spPr>
                    <a:xfrm>
                      <a:off x="0" y="0"/>
                      <a:ext cx="1443038" cy="1837831"/>
                    </a:xfrm>
                    <a:prstGeom prst="rect">
                      <a:avLst/>
                    </a:prstGeom>
                    <a:ln/>
                  </pic:spPr>
                </pic:pic>
              </a:graphicData>
            </a:graphic>
          </wp:anchor>
        </w:drawing>
      </w:r>
    </w:p>
    <w:p w14:paraId="1F5FF82C" w14:textId="77777777" w:rsidR="007A5E3C" w:rsidRDefault="007A5E3C">
      <w:pPr>
        <w:rPr>
          <w:sz w:val="24"/>
          <w:szCs w:val="24"/>
        </w:rPr>
      </w:pPr>
    </w:p>
    <w:p w14:paraId="3FC06A0E" w14:textId="77777777" w:rsidR="007A5E3C" w:rsidRDefault="007A5E3C">
      <w:pPr>
        <w:rPr>
          <w:sz w:val="24"/>
          <w:szCs w:val="24"/>
        </w:rPr>
      </w:pPr>
    </w:p>
    <w:p w14:paraId="53B16C28" w14:textId="77777777" w:rsidR="007A5E3C" w:rsidRDefault="00000000">
      <w:pPr>
        <w:rPr>
          <w:sz w:val="24"/>
          <w:szCs w:val="24"/>
        </w:rPr>
      </w:pPr>
      <w:r>
        <w:rPr>
          <w:noProof/>
        </w:rPr>
        <w:drawing>
          <wp:anchor distT="0" distB="0" distL="0" distR="0" simplePos="0" relativeHeight="251659264" behindDoc="0" locked="0" layoutInCell="1" hidden="0" allowOverlap="1" wp14:anchorId="02E74361" wp14:editId="7D10A432">
            <wp:simplePos x="0" y="0"/>
            <wp:positionH relativeFrom="column">
              <wp:posOffset>2743200</wp:posOffset>
            </wp:positionH>
            <wp:positionV relativeFrom="paragraph">
              <wp:posOffset>17543</wp:posOffset>
            </wp:positionV>
            <wp:extent cx="2252663" cy="1335187"/>
            <wp:effectExtent l="0" t="0" r="0" b="0"/>
            <wp:wrapSquare wrapText="bothSides" distT="0" distB="0" distL="0" distR="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252663" cy="1335187"/>
                    </a:xfrm>
                    <a:prstGeom prst="rect">
                      <a:avLst/>
                    </a:prstGeom>
                    <a:ln/>
                  </pic:spPr>
                </pic:pic>
              </a:graphicData>
            </a:graphic>
          </wp:anchor>
        </w:drawing>
      </w:r>
    </w:p>
    <w:p w14:paraId="588F28E6" w14:textId="77777777" w:rsidR="007A5E3C" w:rsidRDefault="007A5E3C">
      <w:pPr>
        <w:rPr>
          <w:sz w:val="24"/>
          <w:szCs w:val="24"/>
        </w:rPr>
      </w:pPr>
    </w:p>
    <w:p w14:paraId="0720EEC1" w14:textId="77777777" w:rsidR="007A5E3C" w:rsidRDefault="007A5E3C">
      <w:pPr>
        <w:rPr>
          <w:sz w:val="24"/>
          <w:szCs w:val="24"/>
        </w:rPr>
      </w:pPr>
    </w:p>
    <w:p w14:paraId="15740482" w14:textId="77777777" w:rsidR="007A5E3C" w:rsidRDefault="007A5E3C">
      <w:pPr>
        <w:rPr>
          <w:sz w:val="24"/>
          <w:szCs w:val="24"/>
        </w:rPr>
      </w:pPr>
    </w:p>
    <w:p w14:paraId="1EDDB104" w14:textId="77777777" w:rsidR="007A5E3C" w:rsidRDefault="007A5E3C">
      <w:pPr>
        <w:rPr>
          <w:sz w:val="24"/>
          <w:szCs w:val="24"/>
        </w:rPr>
      </w:pPr>
    </w:p>
    <w:p w14:paraId="39DCAC5D" w14:textId="77777777" w:rsidR="007A5E3C" w:rsidRDefault="007A5E3C">
      <w:pPr>
        <w:rPr>
          <w:sz w:val="24"/>
          <w:szCs w:val="24"/>
        </w:rPr>
      </w:pPr>
    </w:p>
    <w:p w14:paraId="61CD3151" w14:textId="77777777" w:rsidR="007A5E3C" w:rsidRDefault="007A5E3C">
      <w:pPr>
        <w:rPr>
          <w:sz w:val="24"/>
          <w:szCs w:val="24"/>
        </w:rPr>
      </w:pPr>
    </w:p>
    <w:p w14:paraId="17E9DFD9" w14:textId="77777777" w:rsidR="007A5E3C" w:rsidRDefault="007A5E3C">
      <w:pPr>
        <w:rPr>
          <w:sz w:val="24"/>
          <w:szCs w:val="24"/>
        </w:rPr>
      </w:pPr>
    </w:p>
    <w:p w14:paraId="023D3F22" w14:textId="77777777" w:rsidR="007A5E3C" w:rsidRDefault="007A5E3C">
      <w:pPr>
        <w:rPr>
          <w:sz w:val="24"/>
          <w:szCs w:val="24"/>
        </w:rPr>
      </w:pPr>
    </w:p>
    <w:p w14:paraId="02ABB0C8" w14:textId="77777777" w:rsidR="007A5E3C" w:rsidRDefault="007A5E3C">
      <w:pPr>
        <w:rPr>
          <w:sz w:val="24"/>
          <w:szCs w:val="24"/>
        </w:rPr>
      </w:pPr>
    </w:p>
    <w:p w14:paraId="0FA98955" w14:textId="77777777" w:rsidR="007A5E3C" w:rsidRDefault="007A5E3C">
      <w:pPr>
        <w:rPr>
          <w:sz w:val="24"/>
          <w:szCs w:val="24"/>
        </w:rPr>
      </w:pPr>
    </w:p>
    <w:p w14:paraId="76062D7B" w14:textId="77777777" w:rsidR="007A5E3C" w:rsidRDefault="00000000">
      <w:pPr>
        <w:jc w:val="center"/>
        <w:rPr>
          <w:b/>
          <w:color w:val="4A86E8"/>
          <w:sz w:val="56"/>
          <w:szCs w:val="56"/>
        </w:rPr>
      </w:pPr>
      <w:r>
        <w:rPr>
          <w:b/>
          <w:color w:val="4A86E8"/>
          <w:sz w:val="56"/>
          <w:szCs w:val="56"/>
        </w:rPr>
        <w:t>Valoración ácido-base II</w:t>
      </w:r>
    </w:p>
    <w:p w14:paraId="660BB552" w14:textId="77777777" w:rsidR="007A5E3C" w:rsidRDefault="007A5E3C">
      <w:pPr>
        <w:rPr>
          <w:sz w:val="24"/>
          <w:szCs w:val="24"/>
        </w:rPr>
      </w:pPr>
    </w:p>
    <w:p w14:paraId="6A37F94E" w14:textId="77777777" w:rsidR="007A5E3C" w:rsidRDefault="007A5E3C">
      <w:pPr>
        <w:rPr>
          <w:sz w:val="24"/>
          <w:szCs w:val="24"/>
        </w:rPr>
      </w:pPr>
    </w:p>
    <w:p w14:paraId="00642278" w14:textId="77777777" w:rsidR="007A5E3C" w:rsidRDefault="007A5E3C">
      <w:pPr>
        <w:rPr>
          <w:sz w:val="24"/>
          <w:szCs w:val="24"/>
        </w:rPr>
      </w:pPr>
    </w:p>
    <w:p w14:paraId="1C8B161C" w14:textId="77777777" w:rsidR="007A5E3C" w:rsidRDefault="007A5E3C">
      <w:pPr>
        <w:rPr>
          <w:sz w:val="24"/>
          <w:szCs w:val="24"/>
        </w:rPr>
      </w:pPr>
    </w:p>
    <w:p w14:paraId="1EDBF2B6" w14:textId="77777777" w:rsidR="007A5E3C" w:rsidRDefault="007A5E3C">
      <w:pPr>
        <w:rPr>
          <w:sz w:val="24"/>
          <w:szCs w:val="24"/>
        </w:rPr>
      </w:pPr>
    </w:p>
    <w:p w14:paraId="76FAFD5D" w14:textId="77777777" w:rsidR="007A5E3C" w:rsidRDefault="007A5E3C">
      <w:pPr>
        <w:rPr>
          <w:sz w:val="24"/>
          <w:szCs w:val="24"/>
        </w:rPr>
      </w:pPr>
    </w:p>
    <w:p w14:paraId="15D6E368" w14:textId="77777777" w:rsidR="007A5E3C" w:rsidRDefault="007A5E3C">
      <w:pPr>
        <w:rPr>
          <w:sz w:val="24"/>
          <w:szCs w:val="24"/>
        </w:rPr>
      </w:pPr>
    </w:p>
    <w:p w14:paraId="6FDEC1C1" w14:textId="77777777" w:rsidR="007A5E3C" w:rsidRDefault="007A5E3C">
      <w:pPr>
        <w:rPr>
          <w:sz w:val="24"/>
          <w:szCs w:val="24"/>
        </w:rPr>
      </w:pPr>
    </w:p>
    <w:p w14:paraId="4FBBF310" w14:textId="77777777" w:rsidR="007A5E3C" w:rsidRDefault="007A5E3C">
      <w:pPr>
        <w:rPr>
          <w:sz w:val="24"/>
          <w:szCs w:val="24"/>
        </w:rPr>
      </w:pPr>
    </w:p>
    <w:p w14:paraId="786880A7" w14:textId="77777777" w:rsidR="007A5E3C" w:rsidRDefault="007A5E3C">
      <w:pPr>
        <w:rPr>
          <w:sz w:val="24"/>
          <w:szCs w:val="24"/>
        </w:rPr>
      </w:pPr>
    </w:p>
    <w:p w14:paraId="5C1C90AF" w14:textId="77777777" w:rsidR="007A5E3C" w:rsidRDefault="007A5E3C">
      <w:pPr>
        <w:rPr>
          <w:sz w:val="24"/>
          <w:szCs w:val="24"/>
        </w:rPr>
      </w:pPr>
    </w:p>
    <w:p w14:paraId="4EE779E4" w14:textId="77777777" w:rsidR="007A5E3C" w:rsidRDefault="007A5E3C">
      <w:pPr>
        <w:rPr>
          <w:sz w:val="24"/>
          <w:szCs w:val="24"/>
        </w:rPr>
      </w:pPr>
    </w:p>
    <w:p w14:paraId="213C0462" w14:textId="77777777" w:rsidR="007A5E3C" w:rsidRDefault="007A5E3C">
      <w:pPr>
        <w:rPr>
          <w:sz w:val="24"/>
          <w:szCs w:val="24"/>
        </w:rPr>
      </w:pPr>
    </w:p>
    <w:p w14:paraId="1680F44D" w14:textId="77777777" w:rsidR="007A5E3C" w:rsidRDefault="007A5E3C">
      <w:pPr>
        <w:rPr>
          <w:sz w:val="24"/>
          <w:szCs w:val="24"/>
        </w:rPr>
      </w:pPr>
    </w:p>
    <w:p w14:paraId="6C28F97F" w14:textId="77777777" w:rsidR="007A5E3C" w:rsidRDefault="007A5E3C">
      <w:pPr>
        <w:rPr>
          <w:sz w:val="24"/>
          <w:szCs w:val="24"/>
        </w:rPr>
      </w:pPr>
    </w:p>
    <w:p w14:paraId="7AF880EF" w14:textId="77777777" w:rsidR="007A5E3C" w:rsidRDefault="007A5E3C">
      <w:pPr>
        <w:rPr>
          <w:sz w:val="24"/>
          <w:szCs w:val="24"/>
        </w:rPr>
      </w:pPr>
    </w:p>
    <w:p w14:paraId="2A773E25" w14:textId="77777777" w:rsidR="007A5E3C" w:rsidRDefault="007A5E3C">
      <w:pPr>
        <w:rPr>
          <w:sz w:val="24"/>
          <w:szCs w:val="24"/>
        </w:rPr>
      </w:pPr>
    </w:p>
    <w:p w14:paraId="3B97EBE1" w14:textId="77777777" w:rsidR="007A5E3C" w:rsidRDefault="007A5E3C">
      <w:pPr>
        <w:rPr>
          <w:sz w:val="24"/>
          <w:szCs w:val="24"/>
        </w:rPr>
      </w:pPr>
    </w:p>
    <w:p w14:paraId="4E40F9CB" w14:textId="77777777" w:rsidR="007A5E3C" w:rsidRDefault="007A5E3C">
      <w:pPr>
        <w:rPr>
          <w:sz w:val="24"/>
          <w:szCs w:val="24"/>
        </w:rPr>
      </w:pPr>
    </w:p>
    <w:p w14:paraId="2DBBBF88" w14:textId="77777777" w:rsidR="007A5E3C" w:rsidRDefault="007A5E3C">
      <w:pPr>
        <w:rPr>
          <w:sz w:val="24"/>
          <w:szCs w:val="24"/>
        </w:rPr>
      </w:pPr>
    </w:p>
    <w:p w14:paraId="16AF95A2" w14:textId="77777777" w:rsidR="007A5E3C" w:rsidRDefault="007A5E3C">
      <w:pPr>
        <w:rPr>
          <w:sz w:val="24"/>
          <w:szCs w:val="24"/>
        </w:rPr>
      </w:pPr>
    </w:p>
    <w:p w14:paraId="690C176E" w14:textId="77777777" w:rsidR="007A5E3C" w:rsidRDefault="007A5E3C">
      <w:pPr>
        <w:rPr>
          <w:sz w:val="28"/>
          <w:szCs w:val="28"/>
        </w:rPr>
      </w:pPr>
    </w:p>
    <w:tbl>
      <w:tblPr>
        <w:tblStyle w:val="a"/>
        <w:tblW w:w="9029" w:type="dxa"/>
        <w:tblInd w:w="0" w:type="dxa"/>
        <w:tblLayout w:type="fixed"/>
        <w:tblLook w:val="0600" w:firstRow="0" w:lastRow="0" w:firstColumn="0" w:lastColumn="0" w:noHBand="1" w:noVBand="1"/>
      </w:tblPr>
      <w:tblGrid>
        <w:gridCol w:w="9029"/>
      </w:tblGrid>
      <w:tr w:rsidR="007A5E3C" w14:paraId="61E18383" w14:textId="77777777">
        <w:tc>
          <w:tcPr>
            <w:tcW w:w="9029" w:type="dxa"/>
            <w:shd w:val="clear" w:color="auto" w:fill="6AA84F"/>
            <w:tcMar>
              <w:top w:w="-13" w:type="dxa"/>
              <w:left w:w="-13" w:type="dxa"/>
              <w:bottom w:w="-13" w:type="dxa"/>
              <w:right w:w="-13" w:type="dxa"/>
            </w:tcMar>
          </w:tcPr>
          <w:p w14:paraId="0FEBBDEA" w14:textId="77777777" w:rsidR="007A5E3C" w:rsidRDefault="00000000">
            <w:pPr>
              <w:jc w:val="center"/>
              <w:rPr>
                <w:b/>
                <w:color w:val="FFFFFF"/>
                <w:sz w:val="36"/>
                <w:szCs w:val="36"/>
              </w:rPr>
            </w:pPr>
            <w:r>
              <w:rPr>
                <w:b/>
                <w:color w:val="FFFFFF"/>
                <w:sz w:val="36"/>
                <w:szCs w:val="36"/>
              </w:rPr>
              <w:t>Índice</w:t>
            </w:r>
          </w:p>
        </w:tc>
      </w:tr>
    </w:tbl>
    <w:p w14:paraId="237F19B3" w14:textId="77777777" w:rsidR="007A5E3C" w:rsidRDefault="007A5E3C">
      <w:pPr>
        <w:rPr>
          <w:sz w:val="28"/>
          <w:szCs w:val="28"/>
        </w:rPr>
      </w:pPr>
    </w:p>
    <w:sdt>
      <w:sdtPr>
        <w:id w:val="-1077122710"/>
        <w:docPartObj>
          <w:docPartGallery w:val="Table of Contents"/>
          <w:docPartUnique/>
        </w:docPartObj>
      </w:sdtPr>
      <w:sdtContent>
        <w:p w14:paraId="5E09AB16" w14:textId="77777777" w:rsidR="007A5E3C" w:rsidRDefault="00000000">
          <w:pPr>
            <w:tabs>
              <w:tab w:val="right" w:pos="9025"/>
            </w:tabs>
            <w:spacing w:before="80" w:line="240" w:lineRule="auto"/>
            <w:rPr>
              <w:color w:val="000000"/>
              <w:sz w:val="24"/>
              <w:szCs w:val="24"/>
            </w:rPr>
          </w:pPr>
          <w:r>
            <w:fldChar w:fldCharType="begin"/>
          </w:r>
          <w:r>
            <w:instrText xml:space="preserve"> TOC \h \u \z </w:instrText>
          </w:r>
          <w:r>
            <w:fldChar w:fldCharType="separate"/>
          </w:r>
          <w:hyperlink w:anchor="_m28wlxrfwxst">
            <w:r>
              <w:rPr>
                <w:color w:val="000000"/>
                <w:sz w:val="24"/>
                <w:szCs w:val="24"/>
              </w:rPr>
              <w:t>Objetivo del documento</w:t>
            </w:r>
          </w:hyperlink>
          <w:r>
            <w:rPr>
              <w:color w:val="000000"/>
              <w:sz w:val="24"/>
              <w:szCs w:val="24"/>
            </w:rPr>
            <w:tab/>
          </w:r>
          <w:r>
            <w:fldChar w:fldCharType="begin"/>
          </w:r>
          <w:r>
            <w:instrText xml:space="preserve"> PAGEREF _m28wlxrfwxst \h </w:instrText>
          </w:r>
          <w:r>
            <w:fldChar w:fldCharType="separate"/>
          </w:r>
          <w:r>
            <w:rPr>
              <w:color w:val="000000"/>
              <w:sz w:val="24"/>
              <w:szCs w:val="24"/>
            </w:rPr>
            <w:t>3</w:t>
          </w:r>
          <w:r>
            <w:fldChar w:fldCharType="end"/>
          </w:r>
        </w:p>
        <w:p w14:paraId="33F55AA3" w14:textId="77777777" w:rsidR="007A5E3C" w:rsidRDefault="00000000">
          <w:pPr>
            <w:tabs>
              <w:tab w:val="right" w:pos="9025"/>
            </w:tabs>
            <w:spacing w:before="200" w:line="240" w:lineRule="auto"/>
            <w:rPr>
              <w:color w:val="000000"/>
              <w:sz w:val="24"/>
              <w:szCs w:val="24"/>
            </w:rPr>
          </w:pPr>
          <w:hyperlink w:anchor="_r1yor8i5f0s2">
            <w:r>
              <w:rPr>
                <w:color w:val="000000"/>
                <w:sz w:val="24"/>
                <w:szCs w:val="24"/>
              </w:rPr>
              <w:t>Objetivos de aprendizaje</w:t>
            </w:r>
          </w:hyperlink>
          <w:r>
            <w:rPr>
              <w:color w:val="000000"/>
              <w:sz w:val="24"/>
              <w:szCs w:val="24"/>
            </w:rPr>
            <w:tab/>
          </w:r>
          <w:r>
            <w:fldChar w:fldCharType="begin"/>
          </w:r>
          <w:r>
            <w:instrText xml:space="preserve"> PAGEREF _r1yor8i5f0s2 \h </w:instrText>
          </w:r>
          <w:r>
            <w:fldChar w:fldCharType="separate"/>
          </w:r>
          <w:r>
            <w:rPr>
              <w:color w:val="000000"/>
              <w:sz w:val="24"/>
              <w:szCs w:val="24"/>
            </w:rPr>
            <w:t>3</w:t>
          </w:r>
          <w:r>
            <w:fldChar w:fldCharType="end"/>
          </w:r>
        </w:p>
        <w:p w14:paraId="66A2EB6A" w14:textId="77777777" w:rsidR="007A5E3C" w:rsidRDefault="00000000">
          <w:pPr>
            <w:tabs>
              <w:tab w:val="right" w:pos="9025"/>
            </w:tabs>
            <w:spacing w:before="200" w:line="240" w:lineRule="auto"/>
            <w:rPr>
              <w:color w:val="000000"/>
              <w:sz w:val="24"/>
              <w:szCs w:val="24"/>
            </w:rPr>
          </w:pPr>
          <w:hyperlink w:anchor="_oyd5msjn46hh">
            <w:r>
              <w:rPr>
                <w:color w:val="000000"/>
                <w:sz w:val="24"/>
                <w:szCs w:val="24"/>
              </w:rPr>
              <w:t>Ciclo educativo y tiempo estimado</w:t>
            </w:r>
          </w:hyperlink>
          <w:r>
            <w:rPr>
              <w:color w:val="000000"/>
              <w:sz w:val="24"/>
              <w:szCs w:val="24"/>
            </w:rPr>
            <w:tab/>
          </w:r>
          <w:r>
            <w:fldChar w:fldCharType="begin"/>
          </w:r>
          <w:r>
            <w:instrText xml:space="preserve"> PAGEREF _oyd5msjn46hh \h </w:instrText>
          </w:r>
          <w:r>
            <w:fldChar w:fldCharType="separate"/>
          </w:r>
          <w:r>
            <w:rPr>
              <w:color w:val="000000"/>
              <w:sz w:val="24"/>
              <w:szCs w:val="24"/>
            </w:rPr>
            <w:t>3</w:t>
          </w:r>
          <w:r>
            <w:fldChar w:fldCharType="end"/>
          </w:r>
        </w:p>
        <w:p w14:paraId="132E374C" w14:textId="77777777" w:rsidR="007A5E3C" w:rsidRDefault="00000000">
          <w:pPr>
            <w:tabs>
              <w:tab w:val="right" w:pos="9025"/>
            </w:tabs>
            <w:spacing w:before="200" w:line="240" w:lineRule="auto"/>
            <w:rPr>
              <w:color w:val="000000"/>
              <w:sz w:val="24"/>
              <w:szCs w:val="24"/>
            </w:rPr>
          </w:pPr>
          <w:hyperlink w:anchor="_4w8kls847neg">
            <w:r>
              <w:rPr>
                <w:color w:val="000000"/>
                <w:sz w:val="24"/>
                <w:szCs w:val="24"/>
              </w:rPr>
              <w:t>Teoría</w:t>
            </w:r>
          </w:hyperlink>
          <w:r>
            <w:rPr>
              <w:color w:val="000000"/>
              <w:sz w:val="24"/>
              <w:szCs w:val="24"/>
            </w:rPr>
            <w:tab/>
          </w:r>
          <w:r>
            <w:fldChar w:fldCharType="begin"/>
          </w:r>
          <w:r>
            <w:instrText xml:space="preserve"> PAGEREF _4w8kls847neg \h </w:instrText>
          </w:r>
          <w:r>
            <w:fldChar w:fldCharType="separate"/>
          </w:r>
          <w:r>
            <w:rPr>
              <w:color w:val="000000"/>
              <w:sz w:val="24"/>
              <w:szCs w:val="24"/>
            </w:rPr>
            <w:t>3</w:t>
          </w:r>
          <w:r>
            <w:fldChar w:fldCharType="end"/>
          </w:r>
        </w:p>
        <w:p w14:paraId="6F0C26C3" w14:textId="77777777" w:rsidR="007A5E3C" w:rsidRDefault="00000000">
          <w:pPr>
            <w:tabs>
              <w:tab w:val="right" w:pos="9025"/>
            </w:tabs>
            <w:spacing w:before="200" w:line="240" w:lineRule="auto"/>
            <w:rPr>
              <w:color w:val="000000"/>
              <w:sz w:val="24"/>
              <w:szCs w:val="24"/>
            </w:rPr>
          </w:pPr>
          <w:hyperlink w:anchor="_t5cm4a8p0m01">
            <w:r>
              <w:rPr>
                <w:color w:val="000000"/>
                <w:sz w:val="24"/>
                <w:szCs w:val="24"/>
              </w:rPr>
              <w:t>Desarrollo del experimento</w:t>
            </w:r>
          </w:hyperlink>
          <w:r>
            <w:rPr>
              <w:color w:val="000000"/>
              <w:sz w:val="24"/>
              <w:szCs w:val="24"/>
            </w:rPr>
            <w:tab/>
          </w:r>
          <w:r>
            <w:fldChar w:fldCharType="begin"/>
          </w:r>
          <w:r>
            <w:instrText xml:space="preserve"> PAGEREF _t5cm4a8p0m01 \h </w:instrText>
          </w:r>
          <w:r>
            <w:fldChar w:fldCharType="separate"/>
          </w:r>
          <w:r>
            <w:rPr>
              <w:color w:val="000000"/>
              <w:sz w:val="24"/>
              <w:szCs w:val="24"/>
            </w:rPr>
            <w:t>4</w:t>
          </w:r>
          <w:r>
            <w:fldChar w:fldCharType="end"/>
          </w:r>
        </w:p>
        <w:p w14:paraId="403803F8" w14:textId="77777777" w:rsidR="007A5E3C" w:rsidRDefault="00000000">
          <w:pPr>
            <w:tabs>
              <w:tab w:val="right" w:pos="9025"/>
            </w:tabs>
            <w:spacing w:before="200" w:line="240" w:lineRule="auto"/>
            <w:rPr>
              <w:color w:val="000000"/>
              <w:sz w:val="24"/>
              <w:szCs w:val="24"/>
            </w:rPr>
          </w:pPr>
          <w:hyperlink w:anchor="_3kmddodp8bhl">
            <w:r>
              <w:rPr>
                <w:color w:val="000000"/>
                <w:sz w:val="24"/>
                <w:szCs w:val="24"/>
              </w:rPr>
              <w:t>Resultados</w:t>
            </w:r>
          </w:hyperlink>
          <w:r>
            <w:rPr>
              <w:color w:val="000000"/>
              <w:sz w:val="24"/>
              <w:szCs w:val="24"/>
            </w:rPr>
            <w:tab/>
          </w:r>
          <w:r>
            <w:fldChar w:fldCharType="begin"/>
          </w:r>
          <w:r>
            <w:instrText xml:space="preserve"> PAGEREF _3kmddodp8bhl \h </w:instrText>
          </w:r>
          <w:r>
            <w:fldChar w:fldCharType="separate"/>
          </w:r>
          <w:r>
            <w:rPr>
              <w:color w:val="000000"/>
              <w:sz w:val="24"/>
              <w:szCs w:val="24"/>
            </w:rPr>
            <w:t>6</w:t>
          </w:r>
          <w:r>
            <w:fldChar w:fldCharType="end"/>
          </w:r>
        </w:p>
        <w:p w14:paraId="3FFD281F" w14:textId="77777777" w:rsidR="007A5E3C" w:rsidRDefault="00000000">
          <w:pPr>
            <w:tabs>
              <w:tab w:val="right" w:pos="9025"/>
            </w:tabs>
            <w:spacing w:before="200" w:line="240" w:lineRule="auto"/>
            <w:rPr>
              <w:color w:val="000000"/>
              <w:sz w:val="24"/>
              <w:szCs w:val="24"/>
            </w:rPr>
          </w:pPr>
          <w:hyperlink w:anchor="_y8brvyfkf518">
            <w:r>
              <w:rPr>
                <w:color w:val="000000"/>
                <w:sz w:val="24"/>
                <w:szCs w:val="24"/>
              </w:rPr>
              <w:t>Cuestiones</w:t>
            </w:r>
          </w:hyperlink>
          <w:r>
            <w:rPr>
              <w:color w:val="000000"/>
              <w:sz w:val="24"/>
              <w:szCs w:val="24"/>
            </w:rPr>
            <w:tab/>
          </w:r>
          <w:r>
            <w:fldChar w:fldCharType="begin"/>
          </w:r>
          <w:r>
            <w:instrText xml:space="preserve"> PAGEREF _y8brvyfkf518 \h </w:instrText>
          </w:r>
          <w:r>
            <w:fldChar w:fldCharType="separate"/>
          </w:r>
          <w:r>
            <w:rPr>
              <w:color w:val="000000"/>
              <w:sz w:val="24"/>
              <w:szCs w:val="24"/>
            </w:rPr>
            <w:t>7</w:t>
          </w:r>
          <w:r>
            <w:fldChar w:fldCharType="end"/>
          </w:r>
        </w:p>
        <w:p w14:paraId="6DF8FDBB" w14:textId="77777777" w:rsidR="007A5E3C" w:rsidRDefault="00000000">
          <w:pPr>
            <w:tabs>
              <w:tab w:val="right" w:pos="9025"/>
            </w:tabs>
            <w:spacing w:before="200" w:after="80" w:line="240" w:lineRule="auto"/>
            <w:rPr>
              <w:color w:val="000000"/>
              <w:sz w:val="24"/>
              <w:szCs w:val="24"/>
            </w:rPr>
          </w:pPr>
          <w:hyperlink w:anchor="_khk6mzd90u80">
            <w:r>
              <w:rPr>
                <w:color w:val="000000"/>
                <w:sz w:val="24"/>
                <w:szCs w:val="24"/>
              </w:rPr>
              <w:t>Bibliografía</w:t>
            </w:r>
          </w:hyperlink>
          <w:r>
            <w:rPr>
              <w:color w:val="000000"/>
              <w:sz w:val="24"/>
              <w:szCs w:val="24"/>
            </w:rPr>
            <w:tab/>
          </w:r>
          <w:r>
            <w:fldChar w:fldCharType="begin"/>
          </w:r>
          <w:r>
            <w:instrText xml:space="preserve"> PAGEREF _khk6mzd90u80 \h </w:instrText>
          </w:r>
          <w:r>
            <w:fldChar w:fldCharType="separate"/>
          </w:r>
          <w:r>
            <w:rPr>
              <w:color w:val="000000"/>
              <w:sz w:val="24"/>
              <w:szCs w:val="24"/>
            </w:rPr>
            <w:t>9</w:t>
          </w:r>
          <w:r>
            <w:fldChar w:fldCharType="end"/>
          </w:r>
          <w:r>
            <w:fldChar w:fldCharType="end"/>
          </w:r>
        </w:p>
      </w:sdtContent>
    </w:sdt>
    <w:p w14:paraId="042AF249" w14:textId="77777777" w:rsidR="007A5E3C" w:rsidRDefault="007A5E3C">
      <w:pPr>
        <w:rPr>
          <w:sz w:val="26"/>
          <w:szCs w:val="26"/>
        </w:rPr>
        <w:sectPr w:rsidR="007A5E3C">
          <w:headerReference w:type="default" r:id="rId9"/>
          <w:footerReference w:type="default" r:id="rId10"/>
          <w:pgSz w:w="11909" w:h="16834"/>
          <w:pgMar w:top="1440" w:right="1440" w:bottom="1440" w:left="1440" w:header="720" w:footer="720" w:gutter="0"/>
          <w:pgNumType w:start="1"/>
          <w:cols w:space="720"/>
        </w:sectPr>
      </w:pPr>
    </w:p>
    <w:p w14:paraId="7E9D9E07" w14:textId="77777777" w:rsidR="007A5E3C" w:rsidRDefault="007A5E3C"/>
    <w:tbl>
      <w:tblPr>
        <w:tblStyle w:val="a0"/>
        <w:tblW w:w="9029" w:type="dxa"/>
        <w:tblInd w:w="0" w:type="dxa"/>
        <w:tblLayout w:type="fixed"/>
        <w:tblLook w:val="0600" w:firstRow="0" w:lastRow="0" w:firstColumn="0" w:lastColumn="0" w:noHBand="1" w:noVBand="1"/>
      </w:tblPr>
      <w:tblGrid>
        <w:gridCol w:w="9029"/>
      </w:tblGrid>
      <w:tr w:rsidR="007A5E3C" w14:paraId="2C7BD1B1" w14:textId="77777777">
        <w:tc>
          <w:tcPr>
            <w:tcW w:w="9029" w:type="dxa"/>
            <w:shd w:val="clear" w:color="auto" w:fill="6AA84F"/>
            <w:tcMar>
              <w:top w:w="-13" w:type="dxa"/>
              <w:left w:w="-13" w:type="dxa"/>
              <w:bottom w:w="-13" w:type="dxa"/>
              <w:right w:w="-13" w:type="dxa"/>
            </w:tcMar>
          </w:tcPr>
          <w:p w14:paraId="7FC465A1" w14:textId="77777777" w:rsidR="007A5E3C" w:rsidRDefault="00000000">
            <w:pPr>
              <w:pStyle w:val="Ttulo1"/>
              <w:spacing w:before="0" w:after="0"/>
              <w:jc w:val="center"/>
              <w:rPr>
                <w:b/>
                <w:color w:val="FFFFFF"/>
                <w:sz w:val="36"/>
                <w:szCs w:val="36"/>
              </w:rPr>
            </w:pPr>
            <w:bookmarkStart w:id="0" w:name="_m28wlxrfwxst" w:colFirst="0" w:colLast="0"/>
            <w:bookmarkEnd w:id="0"/>
            <w:r>
              <w:rPr>
                <w:b/>
                <w:color w:val="FFFFFF"/>
                <w:sz w:val="36"/>
                <w:szCs w:val="36"/>
              </w:rPr>
              <w:t>Objetivo del documento</w:t>
            </w:r>
          </w:p>
        </w:tc>
      </w:tr>
    </w:tbl>
    <w:p w14:paraId="2528450D" w14:textId="77777777" w:rsidR="007A5E3C" w:rsidRDefault="00000000">
      <w:pPr>
        <w:spacing w:before="240" w:after="200"/>
        <w:jc w:val="both"/>
        <w:rPr>
          <w:sz w:val="24"/>
          <w:szCs w:val="24"/>
        </w:rPr>
      </w:pPr>
      <w:r>
        <w:rPr>
          <w:sz w:val="24"/>
          <w:szCs w:val="24"/>
        </w:rPr>
        <w:t xml:space="preserve">El objetivo de este documento es proporcionar una guía para desarrollar el experimento Valoración ácido-base mediante dos técnicas analíticas. </w:t>
      </w:r>
    </w:p>
    <w:p w14:paraId="14EDBDB8" w14:textId="77777777" w:rsidR="007A5E3C" w:rsidRDefault="007A5E3C">
      <w:pPr>
        <w:widowControl w:val="0"/>
        <w:spacing w:before="200" w:after="200"/>
        <w:jc w:val="both"/>
        <w:rPr>
          <w:sz w:val="24"/>
          <w:szCs w:val="24"/>
        </w:rPr>
      </w:pPr>
    </w:p>
    <w:tbl>
      <w:tblPr>
        <w:tblStyle w:val="a1"/>
        <w:tblW w:w="9029" w:type="dxa"/>
        <w:tblInd w:w="0" w:type="dxa"/>
        <w:tblLayout w:type="fixed"/>
        <w:tblLook w:val="0600" w:firstRow="0" w:lastRow="0" w:firstColumn="0" w:lastColumn="0" w:noHBand="1" w:noVBand="1"/>
      </w:tblPr>
      <w:tblGrid>
        <w:gridCol w:w="9029"/>
      </w:tblGrid>
      <w:tr w:rsidR="007A5E3C" w14:paraId="6CB50767" w14:textId="77777777">
        <w:tc>
          <w:tcPr>
            <w:tcW w:w="9029" w:type="dxa"/>
            <w:shd w:val="clear" w:color="auto" w:fill="6AA84F"/>
            <w:tcMar>
              <w:top w:w="-13" w:type="dxa"/>
              <w:left w:w="-13" w:type="dxa"/>
              <w:bottom w:w="-13" w:type="dxa"/>
              <w:right w:w="-13" w:type="dxa"/>
            </w:tcMar>
          </w:tcPr>
          <w:p w14:paraId="7F9405F2" w14:textId="77777777" w:rsidR="007A5E3C" w:rsidRDefault="00000000">
            <w:pPr>
              <w:pStyle w:val="Ttulo1"/>
              <w:spacing w:before="0" w:after="0"/>
              <w:jc w:val="center"/>
              <w:rPr>
                <w:b/>
                <w:color w:val="FFFFFF"/>
                <w:sz w:val="36"/>
                <w:szCs w:val="36"/>
              </w:rPr>
            </w:pPr>
            <w:bookmarkStart w:id="1" w:name="_r1yor8i5f0s2" w:colFirst="0" w:colLast="0"/>
            <w:bookmarkEnd w:id="1"/>
            <w:r>
              <w:rPr>
                <w:b/>
                <w:color w:val="FFFFFF"/>
                <w:sz w:val="36"/>
                <w:szCs w:val="36"/>
              </w:rPr>
              <w:t>Objetivos de aprendizaje</w:t>
            </w:r>
          </w:p>
        </w:tc>
      </w:tr>
    </w:tbl>
    <w:p w14:paraId="77E9E93C" w14:textId="77777777" w:rsidR="007A5E3C" w:rsidRDefault="00000000">
      <w:pPr>
        <w:spacing w:before="240" w:after="200"/>
        <w:jc w:val="both"/>
        <w:rPr>
          <w:sz w:val="24"/>
          <w:szCs w:val="24"/>
        </w:rPr>
      </w:pPr>
      <w:r>
        <w:rPr>
          <w:sz w:val="24"/>
          <w:szCs w:val="24"/>
        </w:rPr>
        <w:t>Estudiar el comportamiento ácido-base de la muestra desconocida. Relacionar el volumen de valorante gastado con la concentración del analito mientras se observa el cambio de color y la influencia del pH en la disolución. El trabajo en equipo.</w:t>
      </w:r>
    </w:p>
    <w:p w14:paraId="63A59583" w14:textId="77777777" w:rsidR="007A5E3C" w:rsidRDefault="007A5E3C">
      <w:pPr>
        <w:widowControl w:val="0"/>
        <w:spacing w:before="200" w:after="200"/>
        <w:jc w:val="both"/>
        <w:rPr>
          <w:sz w:val="24"/>
          <w:szCs w:val="24"/>
        </w:rPr>
      </w:pPr>
    </w:p>
    <w:tbl>
      <w:tblPr>
        <w:tblStyle w:val="a2"/>
        <w:tblW w:w="9029" w:type="dxa"/>
        <w:tblInd w:w="0" w:type="dxa"/>
        <w:tblLayout w:type="fixed"/>
        <w:tblLook w:val="0600" w:firstRow="0" w:lastRow="0" w:firstColumn="0" w:lastColumn="0" w:noHBand="1" w:noVBand="1"/>
      </w:tblPr>
      <w:tblGrid>
        <w:gridCol w:w="9029"/>
      </w:tblGrid>
      <w:tr w:rsidR="007A5E3C" w14:paraId="6FB8F36C" w14:textId="77777777">
        <w:tc>
          <w:tcPr>
            <w:tcW w:w="9029" w:type="dxa"/>
            <w:shd w:val="clear" w:color="auto" w:fill="6AA84F"/>
            <w:tcMar>
              <w:top w:w="-13" w:type="dxa"/>
              <w:left w:w="-13" w:type="dxa"/>
              <w:bottom w:w="-13" w:type="dxa"/>
              <w:right w:w="-13" w:type="dxa"/>
            </w:tcMar>
          </w:tcPr>
          <w:p w14:paraId="6265A006" w14:textId="77777777" w:rsidR="007A5E3C" w:rsidRDefault="00000000">
            <w:pPr>
              <w:pStyle w:val="Ttulo1"/>
              <w:spacing w:before="0" w:after="0"/>
              <w:jc w:val="center"/>
              <w:rPr>
                <w:b/>
                <w:color w:val="FFFFFF"/>
                <w:sz w:val="36"/>
                <w:szCs w:val="36"/>
              </w:rPr>
            </w:pPr>
            <w:bookmarkStart w:id="2" w:name="_oyd5msjn46hh" w:colFirst="0" w:colLast="0"/>
            <w:bookmarkEnd w:id="2"/>
            <w:r>
              <w:rPr>
                <w:b/>
                <w:color w:val="FFFFFF"/>
                <w:sz w:val="36"/>
                <w:szCs w:val="36"/>
              </w:rPr>
              <w:t>Ciclo educativo y tiempo estimado</w:t>
            </w:r>
          </w:p>
        </w:tc>
      </w:tr>
    </w:tbl>
    <w:p w14:paraId="255F6FFF" w14:textId="77777777" w:rsidR="007A5E3C" w:rsidRDefault="00000000">
      <w:pPr>
        <w:spacing w:before="200" w:after="200"/>
        <w:jc w:val="both"/>
        <w:rPr>
          <w:sz w:val="24"/>
          <w:szCs w:val="24"/>
        </w:rPr>
      </w:pPr>
      <w:r>
        <w:rPr>
          <w:sz w:val="24"/>
          <w:szCs w:val="24"/>
        </w:rPr>
        <w:t>Esta actividad la puede realizar cualquier estudiante que haya realizado un curso de introducción a la química analítica y a las valoraciones ácido-base (estudiantes de bachillerato y secundaria). Se puede terminar fácilmente en una sola sesión de unos 90 minutos si el estudiante ha leído y entendido el documento antes de comenzar la sesión. Incluso si el estudiante no puede terminar todo en clase, siempre que la sección de Resultados haya sido terminada, la última sesión de Conclusiones se puede hacer como tarea, ya que no requiere ninguna nueva medición de laboratorio. El apartado de resultados se deberá llevar a cabo en pareja (opcional trabajar en trío).</w:t>
      </w:r>
    </w:p>
    <w:p w14:paraId="5958438E" w14:textId="77777777" w:rsidR="007A5E3C" w:rsidRDefault="007A5E3C">
      <w:pPr>
        <w:spacing w:before="200" w:after="200"/>
        <w:rPr>
          <w:sz w:val="24"/>
          <w:szCs w:val="24"/>
        </w:rPr>
      </w:pPr>
    </w:p>
    <w:tbl>
      <w:tblPr>
        <w:tblStyle w:val="a3"/>
        <w:tblW w:w="9029" w:type="dxa"/>
        <w:tblInd w:w="0" w:type="dxa"/>
        <w:tblLayout w:type="fixed"/>
        <w:tblLook w:val="0600" w:firstRow="0" w:lastRow="0" w:firstColumn="0" w:lastColumn="0" w:noHBand="1" w:noVBand="1"/>
      </w:tblPr>
      <w:tblGrid>
        <w:gridCol w:w="9029"/>
      </w:tblGrid>
      <w:tr w:rsidR="007A5E3C" w14:paraId="5685843D" w14:textId="77777777">
        <w:tc>
          <w:tcPr>
            <w:tcW w:w="9029" w:type="dxa"/>
            <w:shd w:val="clear" w:color="auto" w:fill="6AA84F"/>
            <w:tcMar>
              <w:top w:w="-13" w:type="dxa"/>
              <w:left w:w="-13" w:type="dxa"/>
              <w:bottom w:w="-13" w:type="dxa"/>
              <w:right w:w="-13" w:type="dxa"/>
            </w:tcMar>
          </w:tcPr>
          <w:p w14:paraId="2A248816" w14:textId="77777777" w:rsidR="007A5E3C" w:rsidRDefault="00000000">
            <w:pPr>
              <w:pStyle w:val="Ttulo1"/>
              <w:spacing w:before="0" w:after="0"/>
              <w:jc w:val="center"/>
              <w:rPr>
                <w:b/>
                <w:color w:val="FFFFFF"/>
                <w:sz w:val="36"/>
                <w:szCs w:val="36"/>
              </w:rPr>
            </w:pPr>
            <w:bookmarkStart w:id="3" w:name="_4w8kls847neg" w:colFirst="0" w:colLast="0"/>
            <w:bookmarkEnd w:id="3"/>
            <w:r>
              <w:rPr>
                <w:b/>
                <w:color w:val="FFFFFF"/>
                <w:sz w:val="36"/>
                <w:szCs w:val="36"/>
              </w:rPr>
              <w:t>Teoría</w:t>
            </w:r>
          </w:p>
        </w:tc>
      </w:tr>
    </w:tbl>
    <w:p w14:paraId="5B2F069A" w14:textId="77777777" w:rsidR="007A5E3C" w:rsidRDefault="00000000">
      <w:pPr>
        <w:spacing w:before="200" w:after="200"/>
        <w:jc w:val="both"/>
        <w:rPr>
          <w:sz w:val="24"/>
          <w:szCs w:val="24"/>
          <w:vertAlign w:val="superscript"/>
        </w:rPr>
      </w:pPr>
      <w:r>
        <w:rPr>
          <w:sz w:val="24"/>
          <w:szCs w:val="24"/>
        </w:rPr>
        <w:t xml:space="preserve">La </w:t>
      </w:r>
      <w:r>
        <w:rPr>
          <w:b/>
          <w:sz w:val="24"/>
          <w:szCs w:val="24"/>
        </w:rPr>
        <w:t>valoración ácido-base</w:t>
      </w:r>
      <w:r>
        <w:rPr>
          <w:sz w:val="24"/>
          <w:szCs w:val="24"/>
        </w:rPr>
        <w:t>, también conocida como técnica volumétrica, es empleada para determinar la concentración exacta de una muestra desconocida.</w:t>
      </w:r>
      <w:r>
        <w:rPr>
          <w:sz w:val="24"/>
          <w:szCs w:val="24"/>
          <w:vertAlign w:val="superscript"/>
        </w:rPr>
        <w:t>1</w:t>
      </w:r>
    </w:p>
    <w:p w14:paraId="361D381C" w14:textId="77777777" w:rsidR="007A5E3C" w:rsidRDefault="00000000">
      <w:pPr>
        <w:widowControl w:val="0"/>
        <w:spacing w:before="200" w:after="200"/>
        <w:jc w:val="both"/>
        <w:rPr>
          <w:sz w:val="24"/>
          <w:szCs w:val="24"/>
          <w:vertAlign w:val="superscript"/>
        </w:rPr>
      </w:pPr>
      <w:r>
        <w:rPr>
          <w:sz w:val="24"/>
          <w:szCs w:val="24"/>
        </w:rPr>
        <w:t>Los conceptos básicos que hay que dominar en este análisis son los siguientes:</w:t>
      </w:r>
      <w:r>
        <w:rPr>
          <w:sz w:val="24"/>
          <w:szCs w:val="24"/>
          <w:vertAlign w:val="superscript"/>
        </w:rPr>
        <w:t>1,2</w:t>
      </w:r>
      <w:r>
        <w:rPr>
          <w:sz w:val="24"/>
          <w:szCs w:val="24"/>
        </w:rPr>
        <w:t xml:space="preserve"> </w:t>
      </w:r>
    </w:p>
    <w:p w14:paraId="19FE4ECF" w14:textId="77777777" w:rsidR="007A5E3C" w:rsidRDefault="00000000">
      <w:pPr>
        <w:widowControl w:val="0"/>
        <w:numPr>
          <w:ilvl w:val="0"/>
          <w:numId w:val="4"/>
        </w:numPr>
        <w:spacing w:before="200"/>
        <w:jc w:val="both"/>
        <w:rPr>
          <w:rFonts w:ascii="Calibri" w:eastAsia="Calibri" w:hAnsi="Calibri" w:cs="Calibri"/>
          <w:sz w:val="24"/>
          <w:szCs w:val="24"/>
        </w:rPr>
      </w:pPr>
      <w:r>
        <w:rPr>
          <w:sz w:val="24"/>
          <w:szCs w:val="24"/>
          <w:u w:val="single"/>
        </w:rPr>
        <w:t>Valorante:</w:t>
      </w:r>
      <w:r>
        <w:rPr>
          <w:sz w:val="24"/>
          <w:szCs w:val="24"/>
        </w:rPr>
        <w:t xml:space="preserve"> Disolución de concentración y volumen perfectamente conocida.</w:t>
      </w:r>
    </w:p>
    <w:p w14:paraId="4C221D5C" w14:textId="77777777" w:rsidR="007A5E3C" w:rsidRDefault="00000000">
      <w:pPr>
        <w:widowControl w:val="0"/>
        <w:numPr>
          <w:ilvl w:val="0"/>
          <w:numId w:val="4"/>
        </w:numPr>
        <w:jc w:val="both"/>
        <w:rPr>
          <w:rFonts w:ascii="Calibri" w:eastAsia="Calibri" w:hAnsi="Calibri" w:cs="Calibri"/>
          <w:sz w:val="24"/>
          <w:szCs w:val="24"/>
        </w:rPr>
      </w:pPr>
      <w:r>
        <w:rPr>
          <w:sz w:val="24"/>
          <w:szCs w:val="24"/>
          <w:u w:val="single"/>
        </w:rPr>
        <w:t>Analito o muestra desconocida</w:t>
      </w:r>
      <w:r>
        <w:rPr>
          <w:sz w:val="24"/>
          <w:szCs w:val="24"/>
        </w:rPr>
        <w:t>: Disolución de concentración desconocida, pero de volumen conocido, ya que es el volumen que tú añades antes de iniciar la valoración.</w:t>
      </w:r>
    </w:p>
    <w:p w14:paraId="53CD3B2C" w14:textId="77777777" w:rsidR="007A5E3C" w:rsidRDefault="00000000">
      <w:pPr>
        <w:widowControl w:val="0"/>
        <w:numPr>
          <w:ilvl w:val="0"/>
          <w:numId w:val="4"/>
        </w:numPr>
        <w:jc w:val="both"/>
        <w:rPr>
          <w:rFonts w:ascii="Calibri" w:eastAsia="Calibri" w:hAnsi="Calibri" w:cs="Calibri"/>
          <w:sz w:val="24"/>
          <w:szCs w:val="24"/>
        </w:rPr>
      </w:pPr>
      <w:r>
        <w:rPr>
          <w:sz w:val="24"/>
          <w:szCs w:val="24"/>
          <w:u w:val="single"/>
        </w:rPr>
        <w:t>Punto de equivalencia</w:t>
      </w:r>
      <w:r>
        <w:rPr>
          <w:sz w:val="24"/>
          <w:szCs w:val="24"/>
        </w:rPr>
        <w:t>: Sucede cuando el valorante y el analito, son equivalentes y se cumple la fórmula (Ecuación 1).</w:t>
      </w:r>
    </w:p>
    <w:p w14:paraId="0363DE48" w14:textId="77777777" w:rsidR="007A5E3C" w:rsidRDefault="00000000">
      <w:pPr>
        <w:widowControl w:val="0"/>
        <w:numPr>
          <w:ilvl w:val="0"/>
          <w:numId w:val="4"/>
        </w:numPr>
        <w:jc w:val="both"/>
        <w:rPr>
          <w:rFonts w:ascii="Calibri" w:eastAsia="Calibri" w:hAnsi="Calibri" w:cs="Calibri"/>
          <w:sz w:val="24"/>
          <w:szCs w:val="24"/>
        </w:rPr>
      </w:pPr>
      <w:r>
        <w:rPr>
          <w:sz w:val="24"/>
          <w:szCs w:val="24"/>
          <w:u w:val="single"/>
        </w:rPr>
        <w:t>pH</w:t>
      </w:r>
      <w:r>
        <w:rPr>
          <w:sz w:val="24"/>
          <w:szCs w:val="24"/>
        </w:rPr>
        <w:t xml:space="preserve">: Grado de acidez de una disolución. </w:t>
      </w:r>
    </w:p>
    <w:p w14:paraId="295314B9" w14:textId="77777777" w:rsidR="007A5E3C" w:rsidRDefault="00000000">
      <w:pPr>
        <w:widowControl w:val="0"/>
        <w:numPr>
          <w:ilvl w:val="0"/>
          <w:numId w:val="4"/>
        </w:numPr>
        <w:spacing w:after="200"/>
        <w:jc w:val="both"/>
        <w:rPr>
          <w:rFonts w:ascii="Calibri" w:eastAsia="Calibri" w:hAnsi="Calibri" w:cs="Calibri"/>
          <w:sz w:val="24"/>
          <w:szCs w:val="24"/>
        </w:rPr>
      </w:pPr>
      <w:r>
        <w:rPr>
          <w:sz w:val="24"/>
          <w:szCs w:val="24"/>
          <w:u w:val="single"/>
        </w:rPr>
        <w:t>Indicador</w:t>
      </w:r>
      <w:r>
        <w:rPr>
          <w:sz w:val="24"/>
          <w:szCs w:val="24"/>
        </w:rPr>
        <w:t>: Sustancia que se añade a la muestra desconocida y que al ser analizada produce un cambio físico (viraje de color).</w:t>
      </w:r>
    </w:p>
    <w:p w14:paraId="734EC942" w14:textId="77777777" w:rsidR="007A5E3C" w:rsidRDefault="00000000">
      <w:pPr>
        <w:widowControl w:val="0"/>
        <w:spacing w:before="200" w:after="200"/>
        <w:jc w:val="both"/>
        <w:rPr>
          <w:sz w:val="24"/>
          <w:szCs w:val="24"/>
        </w:rPr>
      </w:pPr>
      <w:r>
        <w:rPr>
          <w:sz w:val="24"/>
          <w:szCs w:val="24"/>
        </w:rPr>
        <w:lastRenderedPageBreak/>
        <w:t>Una vez conocido el volumen del valorante y del analito, y la concentración del valorante que actúa como base, podremos averiguar la concentración del ácido con la siguiente fórmula:</w:t>
      </w:r>
    </w:p>
    <w:p w14:paraId="308BD0D4" w14:textId="77777777" w:rsidR="007A5E3C" w:rsidRDefault="00000000">
      <w:pPr>
        <w:spacing w:before="200" w:after="200"/>
        <w:jc w:val="center"/>
        <w:rPr>
          <w:sz w:val="24"/>
          <w:szCs w:val="24"/>
        </w:rPr>
      </w:pPr>
      <w:r>
        <w:rPr>
          <w:sz w:val="20"/>
          <w:szCs w:val="20"/>
        </w:rPr>
        <w:t>Ecuación 1.</w:t>
      </w:r>
      <w:proofErr w:type="gramStart"/>
      <w:r>
        <w:rPr>
          <w:sz w:val="20"/>
          <w:szCs w:val="20"/>
        </w:rPr>
        <w:t>-  Ecuación</w:t>
      </w:r>
      <w:proofErr w:type="gramEnd"/>
      <w:r>
        <w:rPr>
          <w:sz w:val="20"/>
          <w:szCs w:val="20"/>
        </w:rPr>
        <w:t xml:space="preserve"> teórica empleada para determinar la concentración de ácido acético.</w:t>
      </w:r>
    </w:p>
    <w:p w14:paraId="7ED7258F" w14:textId="77777777" w:rsidR="007A5E3C" w:rsidRDefault="00000000">
      <w:pPr>
        <w:widowControl w:val="0"/>
        <w:spacing w:before="200" w:after="200"/>
        <w:jc w:val="center"/>
        <w:rPr>
          <w:b/>
          <w:sz w:val="24"/>
          <w:szCs w:val="24"/>
        </w:rPr>
      </w:pPr>
      <m:oMath>
        <m:sSub>
          <m:sSubPr>
            <m:ctrlPr>
              <w:rPr>
                <w:rFonts w:ascii="Cambria Math" w:hAnsi="Cambria Math"/>
                <w:sz w:val="24"/>
                <w:szCs w:val="24"/>
              </w:rPr>
            </m:ctrlPr>
          </m:sSubPr>
          <m:e>
            <m:r>
              <w:rPr>
                <w:rFonts w:ascii="Cambria Math" w:hAnsi="Cambria Math"/>
                <w:sz w:val="24"/>
                <w:szCs w:val="24"/>
              </w:rPr>
              <m:t>[Analito]</m:t>
            </m:r>
          </m:e>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analito</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[Valorante]</m:t>
            </m:r>
          </m:e>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Valorante</m:t>
            </m:r>
          </m:sub>
        </m:sSub>
      </m:oMath>
      <w:r>
        <w:rPr>
          <w:sz w:val="24"/>
          <w:szCs w:val="24"/>
        </w:rPr>
        <w:tab/>
      </w:r>
      <w:proofErr w:type="spellStart"/>
      <w:r>
        <w:rPr>
          <w:b/>
          <w:sz w:val="24"/>
          <w:szCs w:val="24"/>
        </w:rPr>
        <w:t>Ec</w:t>
      </w:r>
      <w:proofErr w:type="spellEnd"/>
      <w:r>
        <w:rPr>
          <w:b/>
          <w:sz w:val="24"/>
          <w:szCs w:val="24"/>
        </w:rPr>
        <w:t>. 1</w:t>
      </w:r>
    </w:p>
    <w:p w14:paraId="1EC8E945" w14:textId="77777777" w:rsidR="007A5E3C" w:rsidRDefault="00000000">
      <w:pPr>
        <w:widowControl w:val="0"/>
        <w:spacing w:line="240" w:lineRule="auto"/>
        <w:jc w:val="center"/>
        <w:rPr>
          <w:sz w:val="18"/>
          <w:szCs w:val="18"/>
        </w:rPr>
      </w:pPr>
      <w:r>
        <w:rPr>
          <w:b/>
          <w:sz w:val="18"/>
          <w:szCs w:val="18"/>
        </w:rPr>
        <w:t>[Analito]:</w:t>
      </w:r>
      <w:r>
        <w:rPr>
          <w:sz w:val="18"/>
          <w:szCs w:val="18"/>
        </w:rPr>
        <w:t xml:space="preserve"> Concentración de la muestra desconocida.</w:t>
      </w:r>
    </w:p>
    <w:p w14:paraId="1CA9BB88" w14:textId="77777777" w:rsidR="007A5E3C" w:rsidRDefault="00000000">
      <w:pPr>
        <w:widowControl w:val="0"/>
        <w:spacing w:line="240" w:lineRule="auto"/>
        <w:jc w:val="center"/>
        <w:rPr>
          <w:sz w:val="18"/>
          <w:szCs w:val="18"/>
        </w:rPr>
      </w:pPr>
      <w:r>
        <w:rPr>
          <w:b/>
          <w:sz w:val="18"/>
          <w:szCs w:val="18"/>
        </w:rPr>
        <w:t xml:space="preserve">V </w:t>
      </w:r>
      <w:r>
        <w:rPr>
          <w:b/>
          <w:sz w:val="18"/>
          <w:szCs w:val="18"/>
          <w:vertAlign w:val="subscript"/>
        </w:rPr>
        <w:t>analito</w:t>
      </w:r>
      <w:r>
        <w:rPr>
          <w:b/>
          <w:sz w:val="18"/>
          <w:szCs w:val="18"/>
        </w:rPr>
        <w:t>:</w:t>
      </w:r>
      <w:r>
        <w:rPr>
          <w:sz w:val="18"/>
          <w:szCs w:val="18"/>
        </w:rPr>
        <w:t xml:space="preserve"> Volumen de analito añadido.</w:t>
      </w:r>
    </w:p>
    <w:p w14:paraId="368C247A" w14:textId="77777777" w:rsidR="007A5E3C" w:rsidRDefault="00000000">
      <w:pPr>
        <w:widowControl w:val="0"/>
        <w:spacing w:line="240" w:lineRule="auto"/>
        <w:jc w:val="center"/>
        <w:rPr>
          <w:sz w:val="18"/>
          <w:szCs w:val="18"/>
        </w:rPr>
      </w:pPr>
      <w:r>
        <w:rPr>
          <w:b/>
          <w:sz w:val="18"/>
          <w:szCs w:val="18"/>
        </w:rPr>
        <w:t>[Valorante]:</w:t>
      </w:r>
      <w:r>
        <w:rPr>
          <w:sz w:val="18"/>
          <w:szCs w:val="18"/>
        </w:rPr>
        <w:t xml:space="preserve"> Concentración del valorante.</w:t>
      </w:r>
    </w:p>
    <w:p w14:paraId="39602E84" w14:textId="77777777" w:rsidR="007A5E3C" w:rsidRDefault="00000000">
      <w:pPr>
        <w:widowControl w:val="0"/>
        <w:spacing w:line="240" w:lineRule="auto"/>
        <w:jc w:val="center"/>
        <w:rPr>
          <w:sz w:val="24"/>
          <w:szCs w:val="24"/>
        </w:rPr>
      </w:pPr>
      <w:proofErr w:type="spellStart"/>
      <w:r>
        <w:rPr>
          <w:b/>
          <w:sz w:val="18"/>
          <w:szCs w:val="18"/>
        </w:rPr>
        <w:t>V</w:t>
      </w:r>
      <w:r>
        <w:rPr>
          <w:b/>
          <w:sz w:val="18"/>
          <w:szCs w:val="18"/>
          <w:vertAlign w:val="subscript"/>
        </w:rPr>
        <w:t>Valorante</w:t>
      </w:r>
      <w:proofErr w:type="spellEnd"/>
      <w:r>
        <w:rPr>
          <w:b/>
          <w:sz w:val="18"/>
          <w:szCs w:val="18"/>
        </w:rPr>
        <w:t xml:space="preserve">: </w:t>
      </w:r>
      <w:r>
        <w:rPr>
          <w:sz w:val="18"/>
          <w:szCs w:val="18"/>
        </w:rPr>
        <w:t>Volumen gastado del valorante.</w:t>
      </w:r>
    </w:p>
    <w:p w14:paraId="39E561C2" w14:textId="77777777" w:rsidR="007A5E3C" w:rsidRDefault="007A5E3C">
      <w:pPr>
        <w:spacing w:before="200" w:after="200"/>
        <w:jc w:val="both"/>
      </w:pPr>
    </w:p>
    <w:tbl>
      <w:tblPr>
        <w:tblStyle w:val="a4"/>
        <w:tblW w:w="9029" w:type="dxa"/>
        <w:tblInd w:w="0" w:type="dxa"/>
        <w:tblLayout w:type="fixed"/>
        <w:tblLook w:val="0600" w:firstRow="0" w:lastRow="0" w:firstColumn="0" w:lastColumn="0" w:noHBand="1" w:noVBand="1"/>
      </w:tblPr>
      <w:tblGrid>
        <w:gridCol w:w="9029"/>
      </w:tblGrid>
      <w:tr w:rsidR="007A5E3C" w14:paraId="5EC15DB8" w14:textId="77777777">
        <w:tc>
          <w:tcPr>
            <w:tcW w:w="9029" w:type="dxa"/>
            <w:shd w:val="clear" w:color="auto" w:fill="6AA84F"/>
            <w:tcMar>
              <w:top w:w="-13" w:type="dxa"/>
              <w:left w:w="-13" w:type="dxa"/>
              <w:bottom w:w="-13" w:type="dxa"/>
              <w:right w:w="-13" w:type="dxa"/>
            </w:tcMar>
          </w:tcPr>
          <w:p w14:paraId="2FE42738" w14:textId="77777777" w:rsidR="007A5E3C" w:rsidRDefault="00000000">
            <w:pPr>
              <w:pStyle w:val="Ttulo1"/>
              <w:spacing w:before="0" w:after="0"/>
              <w:jc w:val="center"/>
              <w:rPr>
                <w:b/>
                <w:color w:val="FFFFFF"/>
                <w:sz w:val="36"/>
                <w:szCs w:val="36"/>
              </w:rPr>
            </w:pPr>
            <w:bookmarkStart w:id="4" w:name="_t5cm4a8p0m01" w:colFirst="0" w:colLast="0"/>
            <w:bookmarkEnd w:id="4"/>
            <w:r>
              <w:rPr>
                <w:b/>
                <w:color w:val="FFFFFF"/>
                <w:sz w:val="36"/>
                <w:szCs w:val="36"/>
              </w:rPr>
              <w:t>Desarrollo del experimento</w:t>
            </w:r>
          </w:p>
        </w:tc>
      </w:tr>
    </w:tbl>
    <w:p w14:paraId="3B353589" w14:textId="77777777" w:rsidR="007A5E3C" w:rsidRDefault="00000000">
      <w:pPr>
        <w:spacing w:before="200" w:after="200"/>
        <w:jc w:val="both"/>
        <w:rPr>
          <w:sz w:val="24"/>
          <w:szCs w:val="24"/>
        </w:rPr>
      </w:pPr>
      <w:r>
        <w:rPr>
          <w:sz w:val="24"/>
          <w:szCs w:val="24"/>
        </w:rPr>
        <w:t xml:space="preserve">Esta actividad está diseñada para utilizar dos técnicas analíticas distintas: La técnica potenciometría y la colorimetría. La </w:t>
      </w:r>
      <w:r>
        <w:rPr>
          <w:b/>
          <w:sz w:val="24"/>
          <w:szCs w:val="24"/>
        </w:rPr>
        <w:t xml:space="preserve">potenciometría </w:t>
      </w:r>
      <w:r>
        <w:rPr>
          <w:sz w:val="24"/>
          <w:szCs w:val="24"/>
        </w:rPr>
        <w:t>mide el potencial eléctrico de una disolución mediante un sensor pH digital, puesto que este parámetro tiene una gran influencia en el punto de equivalencia.</w:t>
      </w:r>
      <w:r>
        <w:rPr>
          <w:sz w:val="24"/>
          <w:szCs w:val="24"/>
          <w:vertAlign w:val="superscript"/>
        </w:rPr>
        <w:t>1</w:t>
      </w:r>
      <w:r>
        <w:rPr>
          <w:sz w:val="24"/>
          <w:szCs w:val="24"/>
        </w:rPr>
        <w:t xml:space="preserve"> En la </w:t>
      </w:r>
      <w:r>
        <w:rPr>
          <w:b/>
          <w:sz w:val="24"/>
          <w:szCs w:val="24"/>
        </w:rPr>
        <w:t>colorimetría</w:t>
      </w:r>
      <w:r>
        <w:rPr>
          <w:sz w:val="24"/>
          <w:szCs w:val="24"/>
        </w:rPr>
        <w:t xml:space="preserve">, por el contrario, se basa en la observación del cambio de color producido por el indicador. </w:t>
      </w:r>
      <w:r>
        <w:rPr>
          <w:sz w:val="24"/>
          <w:szCs w:val="24"/>
          <w:vertAlign w:val="superscript"/>
        </w:rPr>
        <w:t>2</w:t>
      </w:r>
      <w:r>
        <w:rPr>
          <w:sz w:val="24"/>
          <w:szCs w:val="24"/>
        </w:rPr>
        <w:t xml:space="preserve"> </w:t>
      </w:r>
    </w:p>
    <w:p w14:paraId="03538C82" w14:textId="77777777" w:rsidR="007A5E3C" w:rsidRDefault="00000000">
      <w:pPr>
        <w:spacing w:before="200" w:after="200"/>
        <w:jc w:val="both"/>
        <w:rPr>
          <w:sz w:val="24"/>
          <w:szCs w:val="24"/>
        </w:rPr>
      </w:pPr>
      <w:r>
        <w:rPr>
          <w:sz w:val="24"/>
          <w:szCs w:val="24"/>
        </w:rPr>
        <w:t xml:space="preserve">En este experimento se desea determinar la concentración de una disolución de 10 </w:t>
      </w:r>
      <w:proofErr w:type="spellStart"/>
      <w:r>
        <w:rPr>
          <w:sz w:val="24"/>
          <w:szCs w:val="24"/>
        </w:rPr>
        <w:t>mL</w:t>
      </w:r>
      <w:proofErr w:type="spellEnd"/>
      <w:r>
        <w:rPr>
          <w:sz w:val="24"/>
          <w:szCs w:val="24"/>
        </w:rPr>
        <w:t xml:space="preserve"> (volumen analito) de</w:t>
      </w:r>
      <w:r>
        <w:rPr>
          <w:b/>
          <w:sz w:val="24"/>
          <w:szCs w:val="24"/>
        </w:rPr>
        <w:t xml:space="preserve"> ácido</w:t>
      </w:r>
      <w:r>
        <w:rPr>
          <w:sz w:val="24"/>
          <w:szCs w:val="24"/>
        </w:rPr>
        <w:t xml:space="preserve"> </w:t>
      </w:r>
      <w:r>
        <w:rPr>
          <w:b/>
          <w:sz w:val="24"/>
          <w:szCs w:val="24"/>
        </w:rPr>
        <w:t>acético</w:t>
      </w:r>
      <w:r>
        <w:rPr>
          <w:sz w:val="24"/>
          <w:szCs w:val="24"/>
        </w:rPr>
        <w:t xml:space="preserve">. Para ello, se emplea el valorante hidróxido de sodio, que se dispone en la bureta y cuya concentración es conocida. En ambos laboratorios tienes </w:t>
      </w:r>
      <w:r>
        <w:rPr>
          <w:b/>
          <w:sz w:val="24"/>
          <w:szCs w:val="24"/>
        </w:rPr>
        <w:t>dos valorantes</w:t>
      </w:r>
      <w:r>
        <w:rPr>
          <w:sz w:val="24"/>
          <w:szCs w:val="24"/>
        </w:rPr>
        <w:t xml:space="preserve"> de distintas concentraciones (se hará uso de los dos valorantes). También se emplea </w:t>
      </w:r>
      <w:r>
        <w:rPr>
          <w:b/>
          <w:sz w:val="24"/>
          <w:szCs w:val="24"/>
        </w:rPr>
        <w:t>un indicador</w:t>
      </w:r>
      <w:r>
        <w:rPr>
          <w:sz w:val="24"/>
          <w:szCs w:val="24"/>
        </w:rPr>
        <w:t xml:space="preserve"> que cuando la disolución alcanza un pH esta cambia de color. Un indicador es un ácido o una base débil y la cantidad que se añade a las valoraciones debe de ser pequeña, de modo que no contribuya al pH de la disolución, y, que solo se necesite una pequeña cantidad de valorante para que se </w:t>
      </w:r>
      <w:proofErr w:type="spellStart"/>
      <w:r>
        <w:rPr>
          <w:sz w:val="24"/>
          <w:szCs w:val="24"/>
        </w:rPr>
        <w:t>de</w:t>
      </w:r>
      <w:proofErr w:type="spellEnd"/>
      <w:r>
        <w:rPr>
          <w:sz w:val="24"/>
          <w:szCs w:val="24"/>
        </w:rPr>
        <w:t xml:space="preserve"> el viraje.</w:t>
      </w:r>
      <w:r>
        <w:rPr>
          <w:sz w:val="24"/>
          <w:szCs w:val="24"/>
          <w:vertAlign w:val="superscript"/>
        </w:rPr>
        <w:t>1</w:t>
      </w:r>
    </w:p>
    <w:p w14:paraId="3742127F" w14:textId="77777777" w:rsidR="007A5E3C" w:rsidRDefault="00000000">
      <w:pPr>
        <w:spacing w:before="200" w:after="200"/>
        <w:jc w:val="both"/>
        <w:rPr>
          <w:sz w:val="24"/>
          <w:szCs w:val="24"/>
        </w:rPr>
      </w:pPr>
      <w:r>
        <w:rPr>
          <w:sz w:val="24"/>
          <w:szCs w:val="24"/>
        </w:rPr>
        <w:t xml:space="preserve">La </w:t>
      </w:r>
      <w:r>
        <w:rPr>
          <w:b/>
          <w:sz w:val="24"/>
          <w:szCs w:val="24"/>
        </w:rPr>
        <w:t xml:space="preserve">reacción ácido-base </w:t>
      </w:r>
      <w:r>
        <w:rPr>
          <w:sz w:val="24"/>
          <w:szCs w:val="24"/>
        </w:rPr>
        <w:t xml:space="preserve">de estudio (Reacción 1) es la valoración de neutralización del ácido acético mediante la adición de una base fuerte, el hidróxido de sodio, liberando como productos de reacción agua y acetato de sodio. </w:t>
      </w:r>
    </w:p>
    <w:p w14:paraId="7CCC5F9D" w14:textId="77777777" w:rsidR="007A5E3C" w:rsidRDefault="00000000">
      <w:pPr>
        <w:spacing w:before="200" w:after="200"/>
        <w:jc w:val="center"/>
        <w:rPr>
          <w:sz w:val="20"/>
          <w:szCs w:val="20"/>
        </w:rPr>
      </w:pPr>
      <w:r>
        <w:rPr>
          <w:sz w:val="20"/>
          <w:szCs w:val="20"/>
        </w:rPr>
        <w:t xml:space="preserve">Reacción 1.- Reacción de neutralización ácido-base del ácido acético en presencia de NaOH. </w:t>
      </w:r>
    </w:p>
    <w:p w14:paraId="477CF3D5" w14:textId="77777777" w:rsidR="007A5E3C" w:rsidRDefault="00000000">
      <w:pPr>
        <w:jc w:val="center"/>
        <w:rPr>
          <w:sz w:val="24"/>
          <w:szCs w:val="24"/>
        </w:rPr>
      </w:pPr>
      <m:oMathPara>
        <m:oMath>
          <m:r>
            <w:rPr>
              <w:rFonts w:ascii="Cambria Math" w:hAnsi="Cambria Math"/>
              <w:sz w:val="24"/>
              <w:szCs w:val="24"/>
            </w:rPr>
            <m:t xml:space="preserve">NaOH + </m:t>
          </m:r>
          <m:sSub>
            <m:sSubPr>
              <m:ctrlPr>
                <w:rPr>
                  <w:rFonts w:ascii="Cambria Math" w:hAnsi="Cambria Math"/>
                  <w:sz w:val="24"/>
                  <w:szCs w:val="24"/>
                </w:rPr>
              </m:ctrlPr>
            </m:sSubPr>
            <m:e>
              <m:r>
                <w:rPr>
                  <w:rFonts w:ascii="Cambria Math" w:hAnsi="Cambria Math"/>
                  <w:sz w:val="24"/>
                  <w:szCs w:val="24"/>
                </w:rPr>
                <m:t>CH</m:t>
              </m:r>
            </m:e>
            <m:sub>
              <m:r>
                <w:rPr>
                  <w:rFonts w:ascii="Cambria Math" w:hAnsi="Cambria Math"/>
                  <w:sz w:val="24"/>
                  <w:szCs w:val="24"/>
                </w:rPr>
                <m:t>3</m:t>
              </m:r>
            </m:sub>
          </m:sSub>
          <m:r>
            <w:rPr>
              <w:rFonts w:ascii="Cambria Math" w:hAnsi="Cambria Math"/>
              <w:sz w:val="24"/>
              <w:szCs w:val="24"/>
            </w:rPr>
            <m:t>COOH→</m:t>
          </m:r>
          <m:sSub>
            <m:sSubPr>
              <m:ctrlPr>
                <w:rPr>
                  <w:rFonts w:ascii="Cambria Math" w:hAnsi="Cambria Math"/>
                  <w:sz w:val="24"/>
                  <w:szCs w:val="24"/>
                </w:rPr>
              </m:ctrlPr>
            </m:sSubPr>
            <m:e>
              <m:r>
                <w:rPr>
                  <w:rFonts w:ascii="Cambria Math" w:hAnsi="Cambria Math"/>
                  <w:sz w:val="24"/>
                  <w:szCs w:val="24"/>
                </w:rPr>
                <m:t>H</m:t>
              </m:r>
            </m:e>
            <m:sub>
              <m:r>
                <w:rPr>
                  <w:rFonts w:ascii="Cambria Math" w:hAnsi="Cambria Math"/>
                  <w:sz w:val="24"/>
                  <w:szCs w:val="24"/>
                </w:rPr>
                <m:t>2</m:t>
              </m:r>
            </m:sub>
          </m:sSub>
          <m:r>
            <w:rPr>
              <w:rFonts w:ascii="Cambria Math" w:hAnsi="Cambria Math"/>
              <w:sz w:val="24"/>
              <w:szCs w:val="24"/>
            </w:rPr>
            <m:t>O +</m:t>
          </m:r>
          <m:sSub>
            <m:sSubPr>
              <m:ctrlPr>
                <w:rPr>
                  <w:rFonts w:ascii="Cambria Math" w:hAnsi="Cambria Math"/>
                  <w:sz w:val="24"/>
                  <w:szCs w:val="24"/>
                </w:rPr>
              </m:ctrlPr>
            </m:sSubPr>
            <m:e>
              <m:r>
                <w:rPr>
                  <w:rFonts w:ascii="Cambria Math" w:hAnsi="Cambria Math"/>
                  <w:sz w:val="24"/>
                  <w:szCs w:val="24"/>
                </w:rPr>
                <m:t>CH</m:t>
              </m:r>
            </m:e>
            <m:sub>
              <m:r>
                <w:rPr>
                  <w:rFonts w:ascii="Cambria Math" w:hAnsi="Cambria Math"/>
                  <w:sz w:val="24"/>
                  <w:szCs w:val="24"/>
                </w:rPr>
                <m:t>3</m:t>
              </m:r>
            </m:sub>
          </m:sSub>
          <m:r>
            <w:rPr>
              <w:rFonts w:ascii="Cambria Math" w:hAnsi="Cambria Math"/>
              <w:sz w:val="24"/>
              <w:szCs w:val="24"/>
            </w:rPr>
            <m:t>CO</m:t>
          </m:r>
          <m:sSup>
            <m:sSupPr>
              <m:ctrlPr>
                <w:rPr>
                  <w:rFonts w:ascii="Cambria Math" w:hAnsi="Cambria Math"/>
                  <w:sz w:val="24"/>
                  <w:szCs w:val="24"/>
                </w:rPr>
              </m:ctrlPr>
            </m:sSupPr>
            <m:e>
              <m:r>
                <w:rPr>
                  <w:rFonts w:ascii="Cambria Math" w:hAnsi="Cambria Math"/>
                  <w:sz w:val="24"/>
                  <w:szCs w:val="24"/>
                </w:rPr>
                <m:t>O</m:t>
              </m:r>
            </m:e>
            <m:sup>
              <m:r>
                <w:rPr>
                  <w:rFonts w:ascii="Cambria Math" w:hAnsi="Cambria Math"/>
                  <w:sz w:val="24"/>
                  <w:szCs w:val="24"/>
                </w:rPr>
                <m:t>-</m:t>
              </m:r>
            </m:sup>
          </m:sSup>
          <m:r>
            <w:rPr>
              <w:rFonts w:ascii="Cambria Math" w:hAnsi="Cambria Math"/>
              <w:sz w:val="24"/>
              <w:szCs w:val="24"/>
            </w:rPr>
            <m:t xml:space="preserve"> + </m:t>
          </m:r>
          <m:sSup>
            <m:sSupPr>
              <m:ctrlPr>
                <w:rPr>
                  <w:rFonts w:ascii="Cambria Math" w:hAnsi="Cambria Math"/>
                  <w:sz w:val="24"/>
                  <w:szCs w:val="24"/>
                </w:rPr>
              </m:ctrlPr>
            </m:sSupPr>
            <m:e>
              <m:r>
                <w:rPr>
                  <w:rFonts w:ascii="Cambria Math" w:hAnsi="Cambria Math"/>
                  <w:sz w:val="24"/>
                  <w:szCs w:val="24"/>
                </w:rPr>
                <m:t>Na</m:t>
              </m:r>
            </m:e>
            <m:sup>
              <m:r>
                <w:rPr>
                  <w:rFonts w:ascii="Cambria Math" w:hAnsi="Cambria Math"/>
                  <w:sz w:val="24"/>
                  <w:szCs w:val="24"/>
                </w:rPr>
                <m:t>+</m:t>
              </m:r>
            </m:sup>
          </m:sSup>
          <m:r>
            <w:rPr>
              <w:rFonts w:ascii="Cambria Math" w:hAnsi="Cambria Math"/>
              <w:sz w:val="24"/>
              <w:szCs w:val="24"/>
            </w:rPr>
            <m:t xml:space="preserve"> </m:t>
          </m:r>
        </m:oMath>
      </m:oMathPara>
    </w:p>
    <w:p w14:paraId="1FA31E81" w14:textId="77777777" w:rsidR="007A5E3C" w:rsidRDefault="00000000">
      <w:pPr>
        <w:spacing w:before="200" w:after="200"/>
        <w:jc w:val="both"/>
        <w:rPr>
          <w:sz w:val="24"/>
          <w:szCs w:val="24"/>
        </w:rPr>
      </w:pPr>
      <w:r>
        <w:rPr>
          <w:sz w:val="24"/>
          <w:szCs w:val="24"/>
        </w:rPr>
        <w:t xml:space="preserve">Como se muestra en la Figura 1 se dejan caer gotas desde la </w:t>
      </w:r>
      <w:r>
        <w:rPr>
          <w:b/>
          <w:sz w:val="24"/>
          <w:szCs w:val="24"/>
        </w:rPr>
        <w:t xml:space="preserve">bureta </w:t>
      </w:r>
      <w:r>
        <w:rPr>
          <w:sz w:val="24"/>
          <w:szCs w:val="24"/>
        </w:rPr>
        <w:t xml:space="preserve">hasta el </w:t>
      </w:r>
      <w:r>
        <w:rPr>
          <w:b/>
          <w:sz w:val="24"/>
          <w:szCs w:val="24"/>
        </w:rPr>
        <w:t>vaso de</w:t>
      </w:r>
      <w:r>
        <w:rPr>
          <w:sz w:val="24"/>
          <w:szCs w:val="24"/>
        </w:rPr>
        <w:t xml:space="preserve"> </w:t>
      </w:r>
      <w:r>
        <w:rPr>
          <w:b/>
          <w:sz w:val="24"/>
          <w:szCs w:val="24"/>
        </w:rPr>
        <w:t xml:space="preserve">precipitados </w:t>
      </w:r>
      <w:r>
        <w:rPr>
          <w:sz w:val="24"/>
          <w:szCs w:val="24"/>
        </w:rPr>
        <w:t xml:space="preserve">donde se encuentra la muestra desconocida. También se dispone de una </w:t>
      </w:r>
      <w:r>
        <w:rPr>
          <w:b/>
          <w:sz w:val="24"/>
          <w:szCs w:val="24"/>
        </w:rPr>
        <w:t>placa calefactora-giratoria</w:t>
      </w:r>
      <w:r>
        <w:rPr>
          <w:sz w:val="24"/>
          <w:szCs w:val="24"/>
        </w:rPr>
        <w:t xml:space="preserve">, junto con un imán para controlar la agitación de la disolución. Se </w:t>
      </w:r>
      <w:r>
        <w:rPr>
          <w:b/>
          <w:sz w:val="24"/>
          <w:szCs w:val="24"/>
        </w:rPr>
        <w:t>mide por goteo</w:t>
      </w:r>
      <w:r>
        <w:rPr>
          <w:sz w:val="24"/>
          <w:szCs w:val="24"/>
        </w:rPr>
        <w:t xml:space="preserve"> hasta llegar al punto de equivalencia. Experimentalmente se observa cuando la disolución que era incolora se vuelve rosácea.</w:t>
      </w:r>
    </w:p>
    <w:p w14:paraId="4FD5F276" w14:textId="5DEAACD9" w:rsidR="007A5E3C" w:rsidRDefault="006B5AAB">
      <w:pPr>
        <w:jc w:val="center"/>
        <w:rPr>
          <w:sz w:val="24"/>
          <w:szCs w:val="24"/>
        </w:rPr>
      </w:pPr>
      <w:r>
        <w:rPr>
          <w:noProof/>
        </w:rPr>
        <w:lastRenderedPageBreak/>
        <mc:AlternateContent>
          <mc:Choice Requires="wpg">
            <w:drawing>
              <wp:anchor distT="114300" distB="114300" distL="114300" distR="114300" simplePos="0" relativeHeight="251660288" behindDoc="0" locked="0" layoutInCell="1" hidden="0" allowOverlap="1" wp14:anchorId="67C65AF3" wp14:editId="73EAD251">
                <wp:simplePos x="0" y="0"/>
                <wp:positionH relativeFrom="column">
                  <wp:posOffset>952500</wp:posOffset>
                </wp:positionH>
                <wp:positionV relativeFrom="paragraph">
                  <wp:posOffset>1978660</wp:posOffset>
                </wp:positionV>
                <wp:extent cx="1447800" cy="368300"/>
                <wp:effectExtent l="0" t="0" r="19050" b="0"/>
                <wp:wrapNone/>
                <wp:docPr id="2" name="Grupo 2"/>
                <wp:cNvGraphicFramePr/>
                <a:graphic xmlns:a="http://schemas.openxmlformats.org/drawingml/2006/main">
                  <a:graphicData uri="http://schemas.microsoft.com/office/word/2010/wordprocessingGroup">
                    <wpg:wgp>
                      <wpg:cNvGrpSpPr/>
                      <wpg:grpSpPr>
                        <a:xfrm>
                          <a:off x="0" y="0"/>
                          <a:ext cx="1447800" cy="368300"/>
                          <a:chOff x="2169776" y="2565000"/>
                          <a:chExt cx="1978024" cy="484898"/>
                        </a:xfrm>
                      </wpg:grpSpPr>
                      <wps:wsp>
                        <wps:cNvPr id="1" name="Conector recto de flecha 1"/>
                        <wps:cNvCnPr/>
                        <wps:spPr>
                          <a:xfrm flipH="1">
                            <a:off x="2919343" y="2745154"/>
                            <a:ext cx="1228457" cy="80260"/>
                          </a:xfrm>
                          <a:prstGeom prst="straightConnector1">
                            <a:avLst/>
                          </a:prstGeom>
                          <a:noFill/>
                          <a:ln w="28575" cap="flat" cmpd="sng">
                            <a:solidFill>
                              <a:srgbClr val="000000"/>
                            </a:solidFill>
                            <a:prstDash val="solid"/>
                            <a:round/>
                            <a:headEnd type="none" w="med" len="med"/>
                            <a:tailEnd type="triangle" w="med" len="med"/>
                          </a:ln>
                        </wps:spPr>
                        <wps:bodyPr/>
                      </wps:wsp>
                      <wps:wsp>
                        <wps:cNvPr id="3" name="Cuadro de texto 3"/>
                        <wps:cNvSpPr txBox="1"/>
                        <wps:spPr>
                          <a:xfrm>
                            <a:off x="2169776" y="2565000"/>
                            <a:ext cx="1095680" cy="484898"/>
                          </a:xfrm>
                          <a:prstGeom prst="rect">
                            <a:avLst/>
                          </a:prstGeom>
                          <a:noFill/>
                          <a:ln>
                            <a:noFill/>
                          </a:ln>
                        </wps:spPr>
                        <wps:txbx>
                          <w:txbxContent>
                            <w:p w14:paraId="2ADE502F" w14:textId="77777777" w:rsidR="007A5E3C" w:rsidRPr="006B5AAB" w:rsidRDefault="00000000">
                              <w:pPr>
                                <w:spacing w:line="240" w:lineRule="auto"/>
                                <w:textDirection w:val="btLr"/>
                                <w:rPr>
                                  <w:sz w:val="20"/>
                                  <w:szCs w:val="20"/>
                                </w:rPr>
                              </w:pPr>
                              <w:r w:rsidRPr="006B5AAB">
                                <w:rPr>
                                  <w:rFonts w:ascii="Calibri" w:eastAsia="Calibri" w:hAnsi="Calibri" w:cs="Calibri"/>
                                  <w:color w:val="000000"/>
                                  <w:sz w:val="24"/>
                                  <w:szCs w:val="20"/>
                                </w:rPr>
                                <w:t>Imán</w:t>
                              </w:r>
                            </w:p>
                          </w:txbxContent>
                        </wps:txbx>
                        <wps:bodyPr spcFirstLastPara="1" wrap="square" lIns="91425" tIns="91425" rIns="91425" bIns="91425" anchor="t" anchorCtr="0">
                          <a:spAutoFit/>
                        </wps:bodyPr>
                      </wps:wsp>
                    </wpg:wgp>
                  </a:graphicData>
                </a:graphic>
                <wp14:sizeRelH relativeFrom="margin">
                  <wp14:pctWidth>0</wp14:pctWidth>
                </wp14:sizeRelH>
              </wp:anchor>
            </w:drawing>
          </mc:Choice>
          <mc:Fallback>
            <w:pict>
              <v:group w14:anchorId="67C65AF3" id="Grupo 2" o:spid="_x0000_s1026" style="position:absolute;left:0;text-align:left;margin-left:75pt;margin-top:155.8pt;width:114pt;height:29pt;z-index:251660288;mso-wrap-distance-top:9pt;mso-wrap-distance-bottom:9pt;mso-width-relative:margin" coordorigin="21697,25650" coordsize="19780,4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">
                <v:shapetype id="_x0000_t32" coordsize="21600,21600" o:spt="32" o:oned="t" path="m,l21600,21600e" filled="f">
                  <v:path arrowok="t" fillok="f" o:connecttype="none"/>
                  <o:lock v:ext="edit" shapetype="t"/>
                </v:shapetype>
                <v:shape id="Conector recto de flecha 1" o:spid="_x0000_s1027" type="#_x0000_t32" style="position:absolute;left:29193;top:27451;width:12285;height:8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" strokeweight="2.25pt">
                  <v:stroke endarrow="block"/>
                </v:shape>
                <v:shapetype id="_x0000_t202" coordsize="21600,21600" o:spt="202" path="m,l,21600r21600,l21600,xe">
                  <v:stroke joinstyle="miter"/>
                  <v:path gradientshapeok="t" o:connecttype="rect"/>
                </v:shapetype>
                <v:shape id="Cuadro de texto 3" o:spid="_x0000_s1028" type="#_x0000_t202" style="position:absolute;left:21697;top:25650;width:10957;height:4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" filled="f" stroked="f">
                  <v:textbox style="mso-fit-shape-to-text:t" inset="2.53958mm,2.53958mm,2.53958mm,2.53958mm">
                    <w:txbxContent>
                      <w:p w14:paraId="2ADE502F" w14:textId="77777777" w:rsidR="007A5E3C" w:rsidRPr="006B5AAB" w:rsidRDefault="00000000">
                        <w:pPr>
                          <w:spacing w:line="240" w:lineRule="auto"/>
                          <w:textDirection w:val="btLr"/>
                          <w:rPr>
                            <w:sz w:val="20"/>
                            <w:szCs w:val="20"/>
                          </w:rPr>
                        </w:pPr>
                        <w:r w:rsidRPr="006B5AAB">
                          <w:rPr>
                            <w:rFonts w:ascii="Calibri" w:eastAsia="Calibri" w:hAnsi="Calibri" w:cs="Calibri"/>
                            <w:color w:val="000000"/>
                            <w:sz w:val="24"/>
                            <w:szCs w:val="20"/>
                          </w:rPr>
                          <w:t>Imán</w:t>
                        </w:r>
                      </w:p>
                    </w:txbxContent>
                  </v:textbox>
                </v:shape>
              </v:group>
            </w:pict>
          </mc:Fallback>
        </mc:AlternateContent>
      </w:r>
      <w:r>
        <w:rPr>
          <w:noProof/>
        </w:rPr>
        <mc:AlternateContent>
          <mc:Choice Requires="wpg">
            <w:drawing>
              <wp:anchor distT="114300" distB="114300" distL="114300" distR="114300" simplePos="0" relativeHeight="251661312" behindDoc="0" locked="0" layoutInCell="1" hidden="0" allowOverlap="1" wp14:anchorId="62B58F96" wp14:editId="60751949">
                <wp:simplePos x="0" y="0"/>
                <wp:positionH relativeFrom="column">
                  <wp:posOffset>2868930</wp:posOffset>
                </wp:positionH>
                <wp:positionV relativeFrom="paragraph">
                  <wp:posOffset>2207260</wp:posOffset>
                </wp:positionV>
                <wp:extent cx="2247265" cy="368300"/>
                <wp:effectExtent l="19050" t="0" r="0" b="0"/>
                <wp:wrapNone/>
                <wp:docPr id="4" name="Grupo 4"/>
                <wp:cNvGraphicFramePr/>
                <a:graphic xmlns:a="http://schemas.openxmlformats.org/drawingml/2006/main">
                  <a:graphicData uri="http://schemas.microsoft.com/office/word/2010/wordprocessingGroup">
                    <wpg:wgp>
                      <wpg:cNvGrpSpPr/>
                      <wpg:grpSpPr>
                        <a:xfrm>
                          <a:off x="0" y="0"/>
                          <a:ext cx="2247265" cy="368300"/>
                          <a:chOff x="2695749" y="1646850"/>
                          <a:chExt cx="3087858" cy="486607"/>
                        </a:xfrm>
                      </wpg:grpSpPr>
                      <wps:wsp>
                        <wps:cNvPr id="5" name="Conector recto de flecha 5"/>
                        <wps:cNvCnPr>
                          <a:endCxn id="4294967295" idx="1"/>
                        </wps:cNvCnPr>
                        <wps:spPr>
                          <a:xfrm flipV="1">
                            <a:off x="2695749" y="1889754"/>
                            <a:ext cx="940770" cy="1769"/>
                          </a:xfrm>
                          <a:prstGeom prst="straightConnector1">
                            <a:avLst/>
                          </a:prstGeom>
                          <a:noFill/>
                          <a:ln w="28575" cap="flat" cmpd="sng">
                            <a:solidFill>
                              <a:srgbClr val="000000"/>
                            </a:solidFill>
                            <a:prstDash val="solid"/>
                            <a:round/>
                            <a:headEnd type="none" w="med" len="med"/>
                            <a:tailEnd type="triangle" w="med" len="med"/>
                          </a:ln>
                        </wps:spPr>
                        <wps:bodyPr/>
                      </wps:wsp>
                      <wps:wsp>
                        <wps:cNvPr id="6" name="Cuadro de texto 6"/>
                        <wps:cNvSpPr txBox="1"/>
                        <wps:spPr>
                          <a:xfrm>
                            <a:off x="3636634" y="1646850"/>
                            <a:ext cx="2146973" cy="486607"/>
                          </a:xfrm>
                          <a:prstGeom prst="rect">
                            <a:avLst/>
                          </a:prstGeom>
                          <a:noFill/>
                          <a:ln>
                            <a:noFill/>
                          </a:ln>
                        </wps:spPr>
                        <wps:txbx>
                          <w:txbxContent>
                            <w:p w14:paraId="5A0D5E29" w14:textId="77777777" w:rsidR="007A5E3C" w:rsidRDefault="00000000">
                              <w:pPr>
                                <w:spacing w:line="240" w:lineRule="auto"/>
                                <w:textDirection w:val="btLr"/>
                              </w:pPr>
                              <w:r w:rsidRPr="006B5AAB">
                                <w:rPr>
                                  <w:rFonts w:ascii="Calibri" w:eastAsia="Calibri" w:hAnsi="Calibri" w:cs="Calibri"/>
                                  <w:color w:val="000000"/>
                                  <w:sz w:val="24"/>
                                  <w:szCs w:val="20"/>
                                </w:rPr>
                                <w:t>Placa</w:t>
                              </w:r>
                              <w:r>
                                <w:rPr>
                                  <w:rFonts w:ascii="Calibri" w:eastAsia="Calibri" w:hAnsi="Calibri" w:cs="Calibri"/>
                                  <w:color w:val="000000"/>
                                  <w:sz w:val="28"/>
                                </w:rPr>
                                <w:t xml:space="preserve"> </w:t>
                              </w:r>
                              <w:r w:rsidRPr="006B5AAB">
                                <w:rPr>
                                  <w:rFonts w:ascii="Calibri" w:eastAsia="Calibri" w:hAnsi="Calibri" w:cs="Calibri"/>
                                  <w:color w:val="000000"/>
                                  <w:sz w:val="24"/>
                                  <w:szCs w:val="20"/>
                                </w:rPr>
                                <w:t>calefactora</w:t>
                              </w:r>
                            </w:p>
                          </w:txbxContent>
                        </wps:txbx>
                        <wps:bodyPr spcFirstLastPara="1" wrap="square" lIns="91425" tIns="91425" rIns="91425" bIns="91425" anchor="t" anchorCtr="0">
                          <a:spAutoFit/>
                        </wps:bodyPr>
                      </wps:wsp>
                    </wpg:wgp>
                  </a:graphicData>
                </a:graphic>
              </wp:anchor>
            </w:drawing>
          </mc:Choice>
          <mc:Fallback>
            <w:pict>
              <v:group w14:anchorId="62B58F96" id="Grupo 4" o:spid="_x0000_s1029" style="position:absolute;left:0;text-align:left;margin-left:225.9pt;margin-top:173.8pt;width:176.95pt;height:29pt;z-index:251661312;mso-wrap-distance-top:9pt;mso-wrap-distance-bottom:9pt" coordorigin="26957,16468" coordsize="30878,4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">
                <v:shape id="Conector recto de flecha 5" o:spid="_x0000_s1030" type="#_x0000_t32" style="position:absolute;left:26957;top:18897;width:9408;height: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" strokeweight="2.25pt">
                  <v:stroke endarrow="block"/>
                </v:shape>
                <v:shape id="Cuadro de texto 6" o:spid="_x0000_s1031" type="#_x0000_t202" style="position:absolute;left:36366;top:16468;width:21470;height:4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" filled="f" stroked="f">
                  <v:textbox style="mso-fit-shape-to-text:t" inset="2.53958mm,2.53958mm,2.53958mm,2.53958mm">
                    <w:txbxContent>
                      <w:p w14:paraId="5A0D5E29" w14:textId="77777777" w:rsidR="007A5E3C" w:rsidRDefault="00000000">
                        <w:pPr>
                          <w:spacing w:line="240" w:lineRule="auto"/>
                          <w:textDirection w:val="btLr"/>
                        </w:pPr>
                        <w:r w:rsidRPr="006B5AAB">
                          <w:rPr>
                            <w:rFonts w:ascii="Calibri" w:eastAsia="Calibri" w:hAnsi="Calibri" w:cs="Calibri"/>
                            <w:color w:val="000000"/>
                            <w:sz w:val="24"/>
                            <w:szCs w:val="20"/>
                          </w:rPr>
                          <w:t>Placa</w:t>
                        </w:r>
                        <w:r>
                          <w:rPr>
                            <w:rFonts w:ascii="Calibri" w:eastAsia="Calibri" w:hAnsi="Calibri" w:cs="Calibri"/>
                            <w:color w:val="000000"/>
                            <w:sz w:val="28"/>
                          </w:rPr>
                          <w:t xml:space="preserve"> </w:t>
                        </w:r>
                        <w:r w:rsidRPr="006B5AAB">
                          <w:rPr>
                            <w:rFonts w:ascii="Calibri" w:eastAsia="Calibri" w:hAnsi="Calibri" w:cs="Calibri"/>
                            <w:color w:val="000000"/>
                            <w:sz w:val="24"/>
                            <w:szCs w:val="20"/>
                          </w:rPr>
                          <w:t>calefactora</w:t>
                        </w:r>
                      </w:p>
                    </w:txbxContent>
                  </v:textbox>
                </v:shape>
              </v:group>
            </w:pict>
          </mc:Fallback>
        </mc:AlternateContent>
      </w:r>
      <w:r>
        <w:rPr>
          <w:noProof/>
        </w:rPr>
        <mc:AlternateContent>
          <mc:Choice Requires="wpg">
            <w:drawing>
              <wp:anchor distT="114300" distB="114300" distL="114300" distR="114300" simplePos="0" relativeHeight="251663360" behindDoc="0" locked="0" layoutInCell="1" hidden="0" allowOverlap="1" wp14:anchorId="6A6A1E5D" wp14:editId="75D4B43F">
                <wp:simplePos x="0" y="0"/>
                <wp:positionH relativeFrom="column">
                  <wp:posOffset>2693670</wp:posOffset>
                </wp:positionH>
                <wp:positionV relativeFrom="paragraph">
                  <wp:posOffset>1856740</wp:posOffset>
                </wp:positionV>
                <wp:extent cx="3044190" cy="368300"/>
                <wp:effectExtent l="19050" t="0" r="0" b="0"/>
                <wp:wrapNone/>
                <wp:docPr id="8" name="Grupo 8"/>
                <wp:cNvGraphicFramePr/>
                <a:graphic xmlns:a="http://schemas.openxmlformats.org/drawingml/2006/main">
                  <a:graphicData uri="http://schemas.microsoft.com/office/word/2010/wordprocessingGroup">
                    <wpg:wgp>
                      <wpg:cNvGrpSpPr/>
                      <wpg:grpSpPr>
                        <a:xfrm>
                          <a:off x="0" y="0"/>
                          <a:ext cx="3044190" cy="368300"/>
                          <a:chOff x="2695750" y="1646850"/>
                          <a:chExt cx="4182653" cy="487085"/>
                        </a:xfrm>
                      </wpg:grpSpPr>
                      <wps:wsp>
                        <wps:cNvPr id="10" name="Conector recto de flecha 10"/>
                        <wps:cNvCnPr>
                          <a:endCxn id="4294967295" idx="1"/>
                        </wps:cNvCnPr>
                        <wps:spPr>
                          <a:xfrm flipV="1">
                            <a:off x="2695750" y="1889993"/>
                            <a:ext cx="940733" cy="1529"/>
                          </a:xfrm>
                          <a:prstGeom prst="straightConnector1">
                            <a:avLst/>
                          </a:prstGeom>
                          <a:noFill/>
                          <a:ln w="28575" cap="flat" cmpd="sng">
                            <a:solidFill>
                              <a:srgbClr val="000000"/>
                            </a:solidFill>
                            <a:prstDash val="solid"/>
                            <a:round/>
                            <a:headEnd type="none" w="med" len="med"/>
                            <a:tailEnd type="triangle" w="med" len="med"/>
                          </a:ln>
                        </wps:spPr>
                        <wps:bodyPr/>
                      </wps:wsp>
                      <wps:wsp>
                        <wps:cNvPr id="11" name="Cuadro de texto 11"/>
                        <wps:cNvSpPr txBox="1"/>
                        <wps:spPr>
                          <a:xfrm>
                            <a:off x="3636549" y="1646850"/>
                            <a:ext cx="3241854" cy="487085"/>
                          </a:xfrm>
                          <a:prstGeom prst="rect">
                            <a:avLst/>
                          </a:prstGeom>
                          <a:noFill/>
                          <a:ln>
                            <a:noFill/>
                          </a:ln>
                        </wps:spPr>
                        <wps:txbx>
                          <w:txbxContent>
                            <w:p w14:paraId="19466AED" w14:textId="77777777" w:rsidR="007A5E3C" w:rsidRPr="006B5AAB" w:rsidRDefault="00000000">
                              <w:pPr>
                                <w:spacing w:line="240" w:lineRule="auto"/>
                                <w:textDirection w:val="btLr"/>
                                <w:rPr>
                                  <w:sz w:val="20"/>
                                  <w:szCs w:val="20"/>
                                </w:rPr>
                              </w:pPr>
                              <w:r w:rsidRPr="006B5AAB">
                                <w:rPr>
                                  <w:rFonts w:ascii="Calibri" w:eastAsia="Calibri" w:hAnsi="Calibri" w:cs="Calibri"/>
                                  <w:color w:val="000000"/>
                                  <w:sz w:val="24"/>
                                  <w:szCs w:val="20"/>
                                </w:rPr>
                                <w:t>Vaso de precipitados</w:t>
                              </w:r>
                            </w:p>
                          </w:txbxContent>
                        </wps:txbx>
                        <wps:bodyPr spcFirstLastPara="1" wrap="square" lIns="91425" tIns="91425" rIns="91425" bIns="91425" anchor="t" anchorCtr="0">
                          <a:spAutoFit/>
                        </wps:bodyPr>
                      </wps:wsp>
                    </wpg:wgp>
                  </a:graphicData>
                </a:graphic>
                <wp14:sizeRelH relativeFrom="margin">
                  <wp14:pctWidth>0</wp14:pctWidth>
                </wp14:sizeRelH>
              </wp:anchor>
            </w:drawing>
          </mc:Choice>
          <mc:Fallback>
            <w:pict>
              <v:group w14:anchorId="6A6A1E5D" id="Grupo 8" o:spid="_x0000_s1032" style="position:absolute;left:0;text-align:left;margin-left:212.1pt;margin-top:146.2pt;width:239.7pt;height:29pt;z-index:251663360;mso-wrap-distance-top:9pt;mso-wrap-distance-bottom:9pt;mso-width-relative:margin" coordorigin="26957,16468" coordsize="41826,4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">
                <v:shape id="Conector recto de flecha 10" o:spid="_x0000_s1033" type="#_x0000_t32" style="position:absolute;left:26957;top:18899;width:9407;height: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" strokeweight="2.25pt">
                  <v:stroke endarrow="block"/>
                </v:shape>
                <v:shape id="Cuadro de texto 11" o:spid="_x0000_s1034" type="#_x0000_t202" style="position:absolute;left:36365;top:16468;width:32419;height:4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" filled="f" stroked="f">
                  <v:textbox style="mso-fit-shape-to-text:t" inset="2.53958mm,2.53958mm,2.53958mm,2.53958mm">
                    <w:txbxContent>
                      <w:p w14:paraId="19466AED" w14:textId="77777777" w:rsidR="007A5E3C" w:rsidRPr="006B5AAB" w:rsidRDefault="00000000">
                        <w:pPr>
                          <w:spacing w:line="240" w:lineRule="auto"/>
                          <w:textDirection w:val="btLr"/>
                          <w:rPr>
                            <w:sz w:val="20"/>
                            <w:szCs w:val="20"/>
                          </w:rPr>
                        </w:pPr>
                        <w:r w:rsidRPr="006B5AAB">
                          <w:rPr>
                            <w:rFonts w:ascii="Calibri" w:eastAsia="Calibri" w:hAnsi="Calibri" w:cs="Calibri"/>
                            <w:color w:val="000000"/>
                            <w:sz w:val="24"/>
                            <w:szCs w:val="20"/>
                          </w:rPr>
                          <w:t>Vaso de precipitados</w:t>
                        </w:r>
                      </w:p>
                    </w:txbxContent>
                  </v:textbox>
                </v:shape>
              </v:group>
            </w:pict>
          </mc:Fallback>
        </mc:AlternateContent>
      </w:r>
      <w:r>
        <w:rPr>
          <w:noProof/>
        </w:rPr>
        <mc:AlternateContent>
          <mc:Choice Requires="wpg">
            <w:drawing>
              <wp:anchor distT="114300" distB="114300" distL="114300" distR="114300" simplePos="0" relativeHeight="251662336" behindDoc="0" locked="0" layoutInCell="1" hidden="0" allowOverlap="1" wp14:anchorId="75670CEE" wp14:editId="0EF5E6BD">
                <wp:simplePos x="0" y="0"/>
                <wp:positionH relativeFrom="column">
                  <wp:posOffset>2541270</wp:posOffset>
                </wp:positionH>
                <wp:positionV relativeFrom="paragraph">
                  <wp:posOffset>35560</wp:posOffset>
                </wp:positionV>
                <wp:extent cx="2247542" cy="368905"/>
                <wp:effectExtent l="19050" t="0" r="0" b="0"/>
                <wp:wrapNone/>
                <wp:docPr id="12" name="Grupo 12"/>
                <wp:cNvGraphicFramePr/>
                <a:graphic xmlns:a="http://schemas.openxmlformats.org/drawingml/2006/main">
                  <a:graphicData uri="http://schemas.microsoft.com/office/word/2010/wordprocessingGroup">
                    <wpg:wgp>
                      <wpg:cNvGrpSpPr/>
                      <wpg:grpSpPr>
                        <a:xfrm>
                          <a:off x="0" y="0"/>
                          <a:ext cx="2247542" cy="368905"/>
                          <a:chOff x="2695749" y="1646850"/>
                          <a:chExt cx="3087858" cy="486607"/>
                        </a:xfrm>
                      </wpg:grpSpPr>
                      <wps:wsp>
                        <wps:cNvPr id="13" name="Conector recto de flecha 13"/>
                        <wps:cNvCnPr>
                          <a:endCxn id="4294967295" idx="1"/>
                        </wps:cNvCnPr>
                        <wps:spPr>
                          <a:xfrm flipV="1">
                            <a:off x="2695749" y="1889754"/>
                            <a:ext cx="940770" cy="1769"/>
                          </a:xfrm>
                          <a:prstGeom prst="straightConnector1">
                            <a:avLst/>
                          </a:prstGeom>
                          <a:noFill/>
                          <a:ln w="28575" cap="flat" cmpd="sng">
                            <a:solidFill>
                              <a:srgbClr val="000000"/>
                            </a:solidFill>
                            <a:prstDash val="solid"/>
                            <a:round/>
                            <a:headEnd type="none" w="med" len="med"/>
                            <a:tailEnd type="triangle" w="med" len="med"/>
                          </a:ln>
                        </wps:spPr>
                        <wps:bodyPr/>
                      </wps:wsp>
                      <wps:wsp>
                        <wps:cNvPr id="14" name="Cuadro de texto 14"/>
                        <wps:cNvSpPr txBox="1"/>
                        <wps:spPr>
                          <a:xfrm>
                            <a:off x="3636634" y="1646850"/>
                            <a:ext cx="2146973" cy="486607"/>
                          </a:xfrm>
                          <a:prstGeom prst="rect">
                            <a:avLst/>
                          </a:prstGeom>
                          <a:noFill/>
                          <a:ln>
                            <a:noFill/>
                          </a:ln>
                        </wps:spPr>
                        <wps:txbx>
                          <w:txbxContent>
                            <w:p w14:paraId="78126D2E" w14:textId="77777777" w:rsidR="007A5E3C" w:rsidRPr="006B5AAB" w:rsidRDefault="00000000">
                              <w:pPr>
                                <w:spacing w:line="240" w:lineRule="auto"/>
                                <w:textDirection w:val="btLr"/>
                                <w:rPr>
                                  <w:sz w:val="20"/>
                                  <w:szCs w:val="20"/>
                                </w:rPr>
                              </w:pPr>
                              <w:r w:rsidRPr="006B5AAB">
                                <w:rPr>
                                  <w:rFonts w:ascii="Calibri" w:eastAsia="Calibri" w:hAnsi="Calibri" w:cs="Calibri"/>
                                  <w:color w:val="000000"/>
                                  <w:sz w:val="24"/>
                                  <w:szCs w:val="20"/>
                                </w:rPr>
                                <w:t>Bureta</w:t>
                              </w:r>
                            </w:p>
                          </w:txbxContent>
                        </wps:txbx>
                        <wps:bodyPr spcFirstLastPara="1" wrap="square" lIns="91425" tIns="91425" rIns="91425" bIns="91425" anchor="t" anchorCtr="0">
                          <a:spAutoFit/>
                        </wps:bodyPr>
                      </wps:wsp>
                    </wpg:wgp>
                  </a:graphicData>
                </a:graphic>
              </wp:anchor>
            </w:drawing>
          </mc:Choice>
          <mc:Fallback>
            <w:pict>
              <v:group w14:anchorId="75670CEE" id="Grupo 12" o:spid="_x0000_s1035" style="position:absolute;left:0;text-align:left;margin-left:200.1pt;margin-top:2.8pt;width:176.95pt;height:29.05pt;z-index:251662336;mso-wrap-distance-top:9pt;mso-wrap-distance-bottom:9pt" coordorigin="26957,16468" coordsize="30878,4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">
                <v:shape id="Conector recto de flecha 13" o:spid="_x0000_s1036" type="#_x0000_t32" style="position:absolute;left:26957;top:18897;width:9408;height: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" strokeweight="2.25pt">
                  <v:stroke endarrow="block"/>
                </v:shape>
                <v:shape id="Cuadro de texto 14" o:spid="_x0000_s1037" type="#_x0000_t202" style="position:absolute;left:36366;top:16468;width:21470;height:4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" filled="f" stroked="f">
                  <v:textbox style="mso-fit-shape-to-text:t" inset="2.53958mm,2.53958mm,2.53958mm,2.53958mm">
                    <w:txbxContent>
                      <w:p w14:paraId="78126D2E" w14:textId="77777777" w:rsidR="007A5E3C" w:rsidRPr="006B5AAB" w:rsidRDefault="00000000">
                        <w:pPr>
                          <w:spacing w:line="240" w:lineRule="auto"/>
                          <w:textDirection w:val="btLr"/>
                          <w:rPr>
                            <w:sz w:val="20"/>
                            <w:szCs w:val="20"/>
                          </w:rPr>
                        </w:pPr>
                        <w:r w:rsidRPr="006B5AAB">
                          <w:rPr>
                            <w:rFonts w:ascii="Calibri" w:eastAsia="Calibri" w:hAnsi="Calibri" w:cs="Calibri"/>
                            <w:color w:val="000000"/>
                            <w:sz w:val="24"/>
                            <w:szCs w:val="20"/>
                          </w:rPr>
                          <w:t>Bureta</w:t>
                        </w:r>
                      </w:p>
                    </w:txbxContent>
                  </v:textbox>
                </v:shape>
              </v:group>
            </w:pict>
          </mc:Fallback>
        </mc:AlternateContent>
      </w:r>
      <w:r w:rsidR="00000000">
        <w:rPr>
          <w:noProof/>
          <w:sz w:val="24"/>
          <w:szCs w:val="24"/>
        </w:rPr>
        <w:drawing>
          <wp:inline distT="114300" distB="114300" distL="114300" distR="114300" wp14:anchorId="027808B5" wp14:editId="48CC4B64">
            <wp:extent cx="2435063" cy="2799494"/>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1827" t="2157" r="49335" b="21196"/>
                    <a:stretch>
                      <a:fillRect/>
                    </a:stretch>
                  </pic:blipFill>
                  <pic:spPr>
                    <a:xfrm>
                      <a:off x="0" y="0"/>
                      <a:ext cx="2435063" cy="2799494"/>
                    </a:xfrm>
                    <a:prstGeom prst="rect">
                      <a:avLst/>
                    </a:prstGeom>
                    <a:ln/>
                  </pic:spPr>
                </pic:pic>
              </a:graphicData>
            </a:graphic>
          </wp:inline>
        </w:drawing>
      </w:r>
    </w:p>
    <w:p w14:paraId="5DC36A2A" w14:textId="77777777" w:rsidR="007A5E3C" w:rsidRDefault="00000000">
      <w:pPr>
        <w:jc w:val="center"/>
        <w:rPr>
          <w:sz w:val="24"/>
          <w:szCs w:val="24"/>
        </w:rPr>
      </w:pPr>
      <w:r>
        <w:rPr>
          <w:sz w:val="20"/>
          <w:szCs w:val="20"/>
        </w:rPr>
        <w:t>Figura 1.- Montaje del experimento llevado a cabo en ambos laboratorios.</w:t>
      </w:r>
    </w:p>
    <w:p w14:paraId="2CCCAA2C" w14:textId="77777777" w:rsidR="007A5E3C" w:rsidRDefault="00000000">
      <w:pPr>
        <w:spacing w:before="200" w:after="200"/>
        <w:jc w:val="both"/>
        <w:rPr>
          <w:sz w:val="24"/>
          <w:szCs w:val="24"/>
        </w:rPr>
      </w:pPr>
      <w:r>
        <w:rPr>
          <w:sz w:val="24"/>
          <w:szCs w:val="24"/>
        </w:rPr>
        <w:t xml:space="preserve">Antes de iniciar el experimento se debe de tener en cuenta algunos aspectos: </w:t>
      </w:r>
    </w:p>
    <w:p w14:paraId="42A91674" w14:textId="77777777" w:rsidR="007A5E3C" w:rsidRDefault="00000000">
      <w:pPr>
        <w:numPr>
          <w:ilvl w:val="0"/>
          <w:numId w:val="1"/>
        </w:numPr>
        <w:spacing w:before="200"/>
        <w:jc w:val="both"/>
        <w:rPr>
          <w:sz w:val="24"/>
          <w:szCs w:val="24"/>
        </w:rPr>
      </w:pPr>
      <w:r>
        <w:rPr>
          <w:sz w:val="24"/>
          <w:szCs w:val="24"/>
        </w:rPr>
        <w:t xml:space="preserve">A la hora de anotar los volúmenes, hay que tener en cuenta </w:t>
      </w:r>
      <w:r>
        <w:rPr>
          <w:b/>
          <w:sz w:val="24"/>
          <w:szCs w:val="24"/>
        </w:rPr>
        <w:t>la forma de la gota</w:t>
      </w:r>
      <w:r>
        <w:rPr>
          <w:sz w:val="24"/>
          <w:szCs w:val="24"/>
        </w:rPr>
        <w:t xml:space="preserve"> y anotar bien el volumen. A continuación, se muestra una imagen de la bureta que contiene una disolución (Figura 2a). El volumen que se debe de anotar es el de la </w:t>
      </w:r>
      <w:r>
        <w:rPr>
          <w:b/>
          <w:sz w:val="24"/>
          <w:szCs w:val="24"/>
        </w:rPr>
        <w:t>curva cóncava</w:t>
      </w:r>
      <w:r>
        <w:rPr>
          <w:sz w:val="24"/>
          <w:szCs w:val="24"/>
        </w:rPr>
        <w:t xml:space="preserve">, es decir, el del final. En este caso el volumen sería 1,1 </w:t>
      </w:r>
      <w:proofErr w:type="spellStart"/>
      <w:r>
        <w:rPr>
          <w:sz w:val="24"/>
          <w:szCs w:val="24"/>
        </w:rPr>
        <w:t>mL</w:t>
      </w:r>
      <w:proofErr w:type="spellEnd"/>
      <w:r>
        <w:rPr>
          <w:sz w:val="24"/>
          <w:szCs w:val="24"/>
        </w:rPr>
        <w:t>.</w:t>
      </w:r>
    </w:p>
    <w:p w14:paraId="6BCF2A04" w14:textId="77777777" w:rsidR="007A5E3C" w:rsidRDefault="00000000">
      <w:pPr>
        <w:numPr>
          <w:ilvl w:val="0"/>
          <w:numId w:val="1"/>
        </w:numPr>
        <w:spacing w:after="200"/>
        <w:jc w:val="both"/>
        <w:rPr>
          <w:sz w:val="24"/>
          <w:szCs w:val="24"/>
        </w:rPr>
      </w:pPr>
      <w:r>
        <w:rPr>
          <w:sz w:val="24"/>
          <w:szCs w:val="24"/>
        </w:rPr>
        <w:t xml:space="preserve">En la </w:t>
      </w:r>
      <w:r>
        <w:rPr>
          <w:b/>
          <w:sz w:val="24"/>
          <w:szCs w:val="24"/>
        </w:rPr>
        <w:t xml:space="preserve">colorimetría </w:t>
      </w:r>
      <w:r>
        <w:rPr>
          <w:sz w:val="24"/>
          <w:szCs w:val="24"/>
        </w:rPr>
        <w:t xml:space="preserve">es importante asegurarse de que se ha dado </w:t>
      </w:r>
      <w:r>
        <w:rPr>
          <w:b/>
          <w:sz w:val="24"/>
          <w:szCs w:val="24"/>
        </w:rPr>
        <w:t>el cambio de color por completo</w:t>
      </w:r>
      <w:r>
        <w:rPr>
          <w:sz w:val="24"/>
          <w:szCs w:val="24"/>
        </w:rPr>
        <w:t xml:space="preserve">. A veces el ojo humano nos engaña, y por eso se recomienda añadir una gota más para asegurarse de que la disolución ha cambiado por completo de color. Se recomienda esperar a que la disolución adquiera el color de la Figura 2b. </w:t>
      </w:r>
    </w:p>
    <w:p w14:paraId="058BDF68" w14:textId="77777777" w:rsidR="007A5E3C" w:rsidRDefault="00000000">
      <w:pPr>
        <w:numPr>
          <w:ilvl w:val="0"/>
          <w:numId w:val="1"/>
        </w:numPr>
        <w:spacing w:before="200"/>
        <w:jc w:val="both"/>
        <w:rPr>
          <w:sz w:val="24"/>
          <w:szCs w:val="24"/>
        </w:rPr>
      </w:pPr>
      <w:r>
        <w:rPr>
          <w:sz w:val="24"/>
          <w:szCs w:val="24"/>
        </w:rPr>
        <w:t xml:space="preserve">En la </w:t>
      </w:r>
      <w:r>
        <w:rPr>
          <w:b/>
          <w:sz w:val="24"/>
          <w:szCs w:val="24"/>
        </w:rPr>
        <w:t>potenciometría</w:t>
      </w:r>
      <w:r>
        <w:rPr>
          <w:sz w:val="24"/>
          <w:szCs w:val="24"/>
        </w:rPr>
        <w:t xml:space="preserve">, por el contrario, se observa la pantalla que indica el pH. Cuando el </w:t>
      </w:r>
      <w:r>
        <w:rPr>
          <w:b/>
          <w:sz w:val="24"/>
          <w:szCs w:val="24"/>
        </w:rPr>
        <w:t>pH sea de 8,2</w:t>
      </w:r>
      <w:r>
        <w:rPr>
          <w:sz w:val="24"/>
          <w:szCs w:val="24"/>
        </w:rPr>
        <w:t xml:space="preserve"> se habrá alcanzado el punto de equivalencia (Figura 2c). </w:t>
      </w:r>
    </w:p>
    <w:p w14:paraId="6206474F" w14:textId="77777777" w:rsidR="007A5E3C" w:rsidRDefault="00000000">
      <w:pPr>
        <w:jc w:val="center"/>
        <w:rPr>
          <w:sz w:val="20"/>
          <w:szCs w:val="20"/>
        </w:rPr>
      </w:pPr>
      <w:r>
        <w:rPr>
          <w:noProof/>
          <w:sz w:val="24"/>
          <w:szCs w:val="24"/>
        </w:rPr>
        <w:drawing>
          <wp:inline distT="114300" distB="114300" distL="114300" distR="114300" wp14:anchorId="370D6933" wp14:editId="1889A53E">
            <wp:extent cx="567818" cy="1485791"/>
            <wp:effectExtent l="0" t="0" r="0" b="0"/>
            <wp:docPr id="1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l="23588" t="5325" r="66777" b="16664"/>
                    <a:stretch>
                      <a:fillRect/>
                    </a:stretch>
                  </pic:blipFill>
                  <pic:spPr>
                    <a:xfrm>
                      <a:off x="0" y="0"/>
                      <a:ext cx="567818" cy="1485791"/>
                    </a:xfrm>
                    <a:prstGeom prst="rect">
                      <a:avLst/>
                    </a:prstGeom>
                    <a:ln/>
                  </pic:spPr>
                </pic:pic>
              </a:graphicData>
            </a:graphic>
          </wp:inline>
        </w:drawing>
      </w:r>
      <w:r>
        <w:rPr>
          <w:noProof/>
          <w:sz w:val="24"/>
          <w:szCs w:val="24"/>
        </w:rPr>
        <w:drawing>
          <wp:inline distT="114300" distB="114300" distL="114300" distR="114300" wp14:anchorId="7394FB96" wp14:editId="35848EF2">
            <wp:extent cx="1039667" cy="1474437"/>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l="37707" t="18522" r="35880" b="15237"/>
                    <a:stretch>
                      <a:fillRect/>
                    </a:stretch>
                  </pic:blipFill>
                  <pic:spPr>
                    <a:xfrm>
                      <a:off x="0" y="0"/>
                      <a:ext cx="1039667" cy="1474437"/>
                    </a:xfrm>
                    <a:prstGeom prst="rect">
                      <a:avLst/>
                    </a:prstGeom>
                    <a:ln/>
                  </pic:spPr>
                </pic:pic>
              </a:graphicData>
            </a:graphic>
          </wp:inline>
        </w:drawing>
      </w:r>
      <w:r>
        <w:rPr>
          <w:noProof/>
          <w:sz w:val="24"/>
          <w:szCs w:val="24"/>
        </w:rPr>
        <w:drawing>
          <wp:inline distT="114300" distB="114300" distL="114300" distR="114300" wp14:anchorId="396CB1A8" wp14:editId="19E84869">
            <wp:extent cx="2547827" cy="1474437"/>
            <wp:effectExtent l="0" t="0" r="0" b="0"/>
            <wp:docPr id="1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l="28239" t="9872" b="16364"/>
                    <a:stretch>
                      <a:fillRect/>
                    </a:stretch>
                  </pic:blipFill>
                  <pic:spPr>
                    <a:xfrm>
                      <a:off x="0" y="0"/>
                      <a:ext cx="2547827" cy="1474437"/>
                    </a:xfrm>
                    <a:prstGeom prst="rect">
                      <a:avLst/>
                    </a:prstGeom>
                    <a:ln/>
                  </pic:spPr>
                </pic:pic>
              </a:graphicData>
            </a:graphic>
          </wp:inline>
        </w:drawing>
      </w:r>
      <w:r>
        <w:rPr>
          <w:noProof/>
        </w:rPr>
        <w:drawing>
          <wp:anchor distT="0" distB="0" distL="0" distR="0" simplePos="0" relativeHeight="251664384" behindDoc="0" locked="0" layoutInCell="1" hidden="0" allowOverlap="1" wp14:anchorId="7F2E9778" wp14:editId="3975C0B1">
            <wp:simplePos x="0" y="0"/>
            <wp:positionH relativeFrom="column">
              <wp:posOffset>752475</wp:posOffset>
            </wp:positionH>
            <wp:positionV relativeFrom="paragraph">
              <wp:posOffset>400050</wp:posOffset>
            </wp:positionV>
            <wp:extent cx="628650" cy="190500"/>
            <wp:effectExtent l="0" t="0" r="0" b="0"/>
            <wp:wrapNone/>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l="10810" b="-233333"/>
                    <a:stretch>
                      <a:fillRect/>
                    </a:stretch>
                  </pic:blipFill>
                  <pic:spPr>
                    <a:xfrm>
                      <a:off x="0" y="0"/>
                      <a:ext cx="628650" cy="190500"/>
                    </a:xfrm>
                    <a:prstGeom prst="rect">
                      <a:avLst/>
                    </a:prstGeom>
                    <a:ln/>
                  </pic:spPr>
                </pic:pic>
              </a:graphicData>
            </a:graphic>
          </wp:anchor>
        </w:drawing>
      </w:r>
    </w:p>
    <w:p w14:paraId="25EA9A30" w14:textId="77777777" w:rsidR="007A5E3C" w:rsidRDefault="00000000">
      <w:pPr>
        <w:ind w:left="720"/>
        <w:rPr>
          <w:sz w:val="20"/>
          <w:szCs w:val="20"/>
        </w:rPr>
      </w:pPr>
      <w:r>
        <w:rPr>
          <w:sz w:val="20"/>
          <w:szCs w:val="20"/>
        </w:rPr>
        <w:t xml:space="preserve">             (a)                   (b)                               (c) </w:t>
      </w:r>
    </w:p>
    <w:p w14:paraId="3429D9E9" w14:textId="77777777" w:rsidR="007A5E3C" w:rsidRDefault="00000000">
      <w:pPr>
        <w:jc w:val="center"/>
        <w:rPr>
          <w:sz w:val="20"/>
          <w:szCs w:val="20"/>
        </w:rPr>
      </w:pPr>
      <w:r>
        <w:rPr>
          <w:sz w:val="20"/>
          <w:szCs w:val="20"/>
        </w:rPr>
        <w:t>Figuras 2.- (a) Bureta experimental para obtener resultados adecuados del valorante gastado. (b) Disolución medida mediante la técnica colorimetría una vez el cambio de color se ha producido. (c) Disolución medida mediante la técnica potenciometría una vez alcanzado el punto de equivalencia (pH 8,2)</w:t>
      </w:r>
    </w:p>
    <w:p w14:paraId="44999B82" w14:textId="77777777" w:rsidR="007A5E3C" w:rsidRDefault="007A5E3C">
      <w:pPr>
        <w:rPr>
          <w:sz w:val="20"/>
          <w:szCs w:val="20"/>
        </w:rPr>
      </w:pPr>
    </w:p>
    <w:tbl>
      <w:tblPr>
        <w:tblStyle w:val="a5"/>
        <w:tblW w:w="9029" w:type="dxa"/>
        <w:tblInd w:w="0" w:type="dxa"/>
        <w:tblLayout w:type="fixed"/>
        <w:tblLook w:val="0600" w:firstRow="0" w:lastRow="0" w:firstColumn="0" w:lastColumn="0" w:noHBand="1" w:noVBand="1"/>
      </w:tblPr>
      <w:tblGrid>
        <w:gridCol w:w="9029"/>
      </w:tblGrid>
      <w:tr w:rsidR="007A5E3C" w14:paraId="29AFC648" w14:textId="77777777">
        <w:tc>
          <w:tcPr>
            <w:tcW w:w="9029" w:type="dxa"/>
            <w:shd w:val="clear" w:color="auto" w:fill="6AA84F"/>
            <w:tcMar>
              <w:top w:w="-13" w:type="dxa"/>
              <w:left w:w="-13" w:type="dxa"/>
              <w:bottom w:w="-13" w:type="dxa"/>
              <w:right w:w="-13" w:type="dxa"/>
            </w:tcMar>
          </w:tcPr>
          <w:p w14:paraId="53EF983A" w14:textId="77777777" w:rsidR="007A5E3C" w:rsidRDefault="00000000">
            <w:pPr>
              <w:pStyle w:val="Ttulo1"/>
              <w:spacing w:before="0" w:after="0"/>
              <w:jc w:val="center"/>
              <w:rPr>
                <w:b/>
                <w:color w:val="FFFFFF"/>
                <w:sz w:val="36"/>
                <w:szCs w:val="36"/>
              </w:rPr>
            </w:pPr>
            <w:bookmarkStart w:id="5" w:name="_3kmddodp8bhl" w:colFirst="0" w:colLast="0"/>
            <w:bookmarkEnd w:id="5"/>
            <w:r>
              <w:rPr>
                <w:b/>
                <w:color w:val="FFFFFF"/>
                <w:sz w:val="36"/>
                <w:szCs w:val="36"/>
              </w:rPr>
              <w:t>Resultados</w:t>
            </w:r>
          </w:p>
        </w:tc>
      </w:tr>
    </w:tbl>
    <w:p w14:paraId="5756907F" w14:textId="77777777" w:rsidR="007A5E3C" w:rsidRDefault="00000000">
      <w:pPr>
        <w:spacing w:before="200" w:after="200"/>
        <w:jc w:val="both"/>
        <w:rPr>
          <w:sz w:val="24"/>
          <w:szCs w:val="24"/>
        </w:rPr>
      </w:pPr>
      <w:r>
        <w:rPr>
          <w:sz w:val="24"/>
          <w:szCs w:val="24"/>
        </w:rPr>
        <w:t xml:space="preserve">Este apartado se puede llevar a cabo con otros compañeros, lo recomendable es trabajar en pareja. Con objeto de minimizar el error experimental y obtener unos resultados precisos, sería adecuado que una misma persona realizará la valoración de las tres muestras para una misma concentración de valorante. </w:t>
      </w:r>
    </w:p>
    <w:p w14:paraId="2EF237E5" w14:textId="77777777" w:rsidR="007A5E3C" w:rsidRDefault="00000000">
      <w:pPr>
        <w:spacing w:before="200" w:after="200"/>
        <w:jc w:val="both"/>
        <w:rPr>
          <w:i/>
          <w:sz w:val="20"/>
          <w:szCs w:val="20"/>
        </w:rPr>
      </w:pPr>
      <w:r>
        <w:rPr>
          <w:sz w:val="24"/>
          <w:szCs w:val="24"/>
        </w:rPr>
        <w:t>Primero, recoge en la Tabla 1 los resultados obtenidos experimentalmente del volumen gastado de valorante (NaOH) y del pH en el momento en el que la disolución cambie de incolora a rosácea.</w:t>
      </w:r>
    </w:p>
    <w:p w14:paraId="1D572B47" w14:textId="77777777" w:rsidR="007A5E3C" w:rsidRDefault="00000000">
      <w:pPr>
        <w:spacing w:before="200" w:after="200"/>
        <w:jc w:val="both"/>
        <w:rPr>
          <w:sz w:val="20"/>
          <w:szCs w:val="20"/>
        </w:rPr>
      </w:pPr>
      <w:r>
        <w:rPr>
          <w:sz w:val="20"/>
          <w:szCs w:val="20"/>
        </w:rPr>
        <w:t xml:space="preserve">Tabla 1.- Volúmenes de valorante gastado y pH obtenidos usando el laboratorio remoto Valoración ácido-base II tanto técnica potenciométrica como colorimétrica.  </w:t>
      </w:r>
    </w:p>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7A5E3C" w14:paraId="79C2770E" w14:textId="77777777">
        <w:trPr>
          <w:trHeight w:val="440"/>
        </w:trPr>
        <w:tc>
          <w:tcPr>
            <w:tcW w:w="1805" w:type="dxa"/>
            <w:shd w:val="clear" w:color="auto" w:fill="auto"/>
            <w:tcMar>
              <w:top w:w="100" w:type="dxa"/>
              <w:left w:w="100" w:type="dxa"/>
              <w:bottom w:w="100" w:type="dxa"/>
              <w:right w:w="100" w:type="dxa"/>
            </w:tcMar>
          </w:tcPr>
          <w:p w14:paraId="34240987" w14:textId="77777777" w:rsidR="007A5E3C" w:rsidRDefault="00000000">
            <w:pPr>
              <w:widowControl w:val="0"/>
              <w:pBdr>
                <w:top w:val="nil"/>
                <w:left w:val="nil"/>
                <w:bottom w:val="nil"/>
                <w:right w:val="nil"/>
                <w:between w:val="nil"/>
              </w:pBdr>
              <w:spacing w:line="240" w:lineRule="auto"/>
              <w:jc w:val="center"/>
            </w:pPr>
            <w:r>
              <w:t>Técnicas</w:t>
            </w:r>
          </w:p>
        </w:tc>
        <w:tc>
          <w:tcPr>
            <w:tcW w:w="3610" w:type="dxa"/>
            <w:gridSpan w:val="2"/>
            <w:shd w:val="clear" w:color="auto" w:fill="auto"/>
            <w:tcMar>
              <w:top w:w="100" w:type="dxa"/>
              <w:left w:w="100" w:type="dxa"/>
              <w:bottom w:w="100" w:type="dxa"/>
              <w:right w:w="100" w:type="dxa"/>
            </w:tcMar>
          </w:tcPr>
          <w:p w14:paraId="658E4580" w14:textId="77777777" w:rsidR="007A5E3C" w:rsidRDefault="00000000">
            <w:pPr>
              <w:widowControl w:val="0"/>
              <w:pBdr>
                <w:top w:val="nil"/>
                <w:left w:val="nil"/>
                <w:bottom w:val="nil"/>
                <w:right w:val="nil"/>
                <w:between w:val="nil"/>
              </w:pBdr>
              <w:spacing w:line="240" w:lineRule="auto"/>
              <w:jc w:val="center"/>
            </w:pPr>
            <w:r>
              <w:t>Potenciometría</w:t>
            </w:r>
          </w:p>
        </w:tc>
        <w:tc>
          <w:tcPr>
            <w:tcW w:w="3610" w:type="dxa"/>
            <w:gridSpan w:val="2"/>
            <w:shd w:val="clear" w:color="auto" w:fill="auto"/>
            <w:tcMar>
              <w:top w:w="100" w:type="dxa"/>
              <w:left w:w="100" w:type="dxa"/>
              <w:bottom w:w="100" w:type="dxa"/>
              <w:right w:w="100" w:type="dxa"/>
            </w:tcMar>
          </w:tcPr>
          <w:p w14:paraId="1E0D27F4" w14:textId="77777777" w:rsidR="007A5E3C" w:rsidRDefault="00000000">
            <w:pPr>
              <w:widowControl w:val="0"/>
              <w:pBdr>
                <w:top w:val="nil"/>
                <w:left w:val="nil"/>
                <w:bottom w:val="nil"/>
                <w:right w:val="nil"/>
                <w:between w:val="nil"/>
              </w:pBdr>
              <w:spacing w:line="240" w:lineRule="auto"/>
              <w:jc w:val="center"/>
            </w:pPr>
            <w:r>
              <w:t>Colorimetría</w:t>
            </w:r>
          </w:p>
        </w:tc>
      </w:tr>
      <w:tr w:rsidR="007A5E3C" w14:paraId="2348B26C" w14:textId="77777777">
        <w:tc>
          <w:tcPr>
            <w:tcW w:w="1805" w:type="dxa"/>
            <w:shd w:val="clear" w:color="auto" w:fill="auto"/>
            <w:tcMar>
              <w:top w:w="100" w:type="dxa"/>
              <w:left w:w="100" w:type="dxa"/>
              <w:bottom w:w="100" w:type="dxa"/>
              <w:right w:w="100" w:type="dxa"/>
            </w:tcMar>
          </w:tcPr>
          <w:p w14:paraId="345E55DD" w14:textId="77777777" w:rsidR="007A5E3C" w:rsidRDefault="00000000">
            <w:pPr>
              <w:widowControl w:val="0"/>
              <w:pBdr>
                <w:top w:val="nil"/>
                <w:left w:val="nil"/>
                <w:bottom w:val="nil"/>
                <w:right w:val="nil"/>
                <w:between w:val="nil"/>
              </w:pBdr>
              <w:spacing w:line="240" w:lineRule="auto"/>
              <w:jc w:val="center"/>
            </w:pPr>
            <w:r>
              <w:t>Valorantes</w:t>
            </w:r>
          </w:p>
        </w:tc>
        <w:tc>
          <w:tcPr>
            <w:tcW w:w="1805" w:type="dxa"/>
            <w:shd w:val="clear" w:color="auto" w:fill="auto"/>
            <w:tcMar>
              <w:top w:w="100" w:type="dxa"/>
              <w:left w:w="100" w:type="dxa"/>
              <w:bottom w:w="100" w:type="dxa"/>
              <w:right w:w="100" w:type="dxa"/>
            </w:tcMar>
          </w:tcPr>
          <w:p w14:paraId="2210C9D7" w14:textId="77777777" w:rsidR="007A5E3C" w:rsidRDefault="00000000">
            <w:pPr>
              <w:widowControl w:val="0"/>
              <w:pBdr>
                <w:top w:val="nil"/>
                <w:left w:val="nil"/>
                <w:bottom w:val="nil"/>
                <w:right w:val="nil"/>
                <w:between w:val="nil"/>
              </w:pBdr>
              <w:spacing w:line="240" w:lineRule="auto"/>
              <w:jc w:val="center"/>
            </w:pPr>
            <w:r>
              <w:t>[NaOH] 0,151M</w:t>
            </w:r>
          </w:p>
        </w:tc>
        <w:tc>
          <w:tcPr>
            <w:tcW w:w="1805" w:type="dxa"/>
            <w:shd w:val="clear" w:color="auto" w:fill="auto"/>
            <w:tcMar>
              <w:top w:w="100" w:type="dxa"/>
              <w:left w:w="100" w:type="dxa"/>
              <w:bottom w:w="100" w:type="dxa"/>
              <w:right w:w="100" w:type="dxa"/>
            </w:tcMar>
          </w:tcPr>
          <w:p w14:paraId="791C0CAD" w14:textId="77777777" w:rsidR="007A5E3C" w:rsidRDefault="00000000">
            <w:pPr>
              <w:widowControl w:val="0"/>
              <w:spacing w:line="240" w:lineRule="auto"/>
              <w:jc w:val="center"/>
            </w:pPr>
            <w:r>
              <w:t>[NaOH] 0,244 M</w:t>
            </w:r>
          </w:p>
        </w:tc>
        <w:tc>
          <w:tcPr>
            <w:tcW w:w="1805" w:type="dxa"/>
            <w:shd w:val="clear" w:color="auto" w:fill="auto"/>
            <w:tcMar>
              <w:top w:w="100" w:type="dxa"/>
              <w:left w:w="100" w:type="dxa"/>
              <w:bottom w:w="100" w:type="dxa"/>
              <w:right w:w="100" w:type="dxa"/>
            </w:tcMar>
          </w:tcPr>
          <w:p w14:paraId="441F454E" w14:textId="77777777" w:rsidR="007A5E3C" w:rsidRDefault="00000000">
            <w:pPr>
              <w:widowControl w:val="0"/>
              <w:spacing w:line="240" w:lineRule="auto"/>
              <w:jc w:val="center"/>
            </w:pPr>
            <w:r>
              <w:t>[NaOH] 0,151M</w:t>
            </w:r>
          </w:p>
        </w:tc>
        <w:tc>
          <w:tcPr>
            <w:tcW w:w="1805" w:type="dxa"/>
            <w:shd w:val="clear" w:color="auto" w:fill="auto"/>
            <w:tcMar>
              <w:top w:w="100" w:type="dxa"/>
              <w:left w:w="100" w:type="dxa"/>
              <w:bottom w:w="100" w:type="dxa"/>
              <w:right w:w="100" w:type="dxa"/>
            </w:tcMar>
          </w:tcPr>
          <w:p w14:paraId="7EB28FEF" w14:textId="77777777" w:rsidR="007A5E3C" w:rsidRDefault="00000000">
            <w:pPr>
              <w:widowControl w:val="0"/>
              <w:spacing w:line="240" w:lineRule="auto"/>
              <w:jc w:val="center"/>
            </w:pPr>
            <w:r>
              <w:t>[NaOH] 0,244 M</w:t>
            </w:r>
          </w:p>
        </w:tc>
      </w:tr>
      <w:tr w:rsidR="007A5E3C" w14:paraId="1B10E286" w14:textId="77777777">
        <w:tc>
          <w:tcPr>
            <w:tcW w:w="1805" w:type="dxa"/>
            <w:shd w:val="clear" w:color="auto" w:fill="auto"/>
            <w:tcMar>
              <w:top w:w="100" w:type="dxa"/>
              <w:left w:w="100" w:type="dxa"/>
              <w:bottom w:w="100" w:type="dxa"/>
              <w:right w:w="100" w:type="dxa"/>
            </w:tcMar>
          </w:tcPr>
          <w:p w14:paraId="36F1909B" w14:textId="77777777" w:rsidR="007A5E3C" w:rsidRDefault="00000000">
            <w:pPr>
              <w:widowControl w:val="0"/>
              <w:spacing w:line="240" w:lineRule="auto"/>
              <w:jc w:val="center"/>
            </w:pPr>
            <w:r>
              <w:t xml:space="preserve">V </w:t>
            </w:r>
            <w:r>
              <w:rPr>
                <w:vertAlign w:val="subscript"/>
              </w:rPr>
              <w:t>Muestra 1</w:t>
            </w:r>
          </w:p>
        </w:tc>
        <w:tc>
          <w:tcPr>
            <w:tcW w:w="1805" w:type="dxa"/>
            <w:shd w:val="clear" w:color="auto" w:fill="auto"/>
            <w:tcMar>
              <w:top w:w="100" w:type="dxa"/>
              <w:left w:w="100" w:type="dxa"/>
              <w:bottom w:w="100" w:type="dxa"/>
              <w:right w:w="100" w:type="dxa"/>
            </w:tcMar>
          </w:tcPr>
          <w:p w14:paraId="6C456D10" w14:textId="77777777" w:rsidR="007A5E3C" w:rsidRDefault="007A5E3C">
            <w:pPr>
              <w:widowControl w:val="0"/>
              <w:pBdr>
                <w:top w:val="nil"/>
                <w:left w:val="nil"/>
                <w:bottom w:val="nil"/>
                <w:right w:val="nil"/>
                <w:between w:val="nil"/>
              </w:pBdr>
              <w:spacing w:line="240" w:lineRule="auto"/>
              <w:jc w:val="center"/>
            </w:pPr>
          </w:p>
        </w:tc>
        <w:tc>
          <w:tcPr>
            <w:tcW w:w="1805" w:type="dxa"/>
            <w:shd w:val="clear" w:color="auto" w:fill="auto"/>
            <w:tcMar>
              <w:top w:w="100" w:type="dxa"/>
              <w:left w:w="100" w:type="dxa"/>
              <w:bottom w:w="100" w:type="dxa"/>
              <w:right w:w="100" w:type="dxa"/>
            </w:tcMar>
          </w:tcPr>
          <w:p w14:paraId="3E75E816" w14:textId="77777777" w:rsidR="007A5E3C" w:rsidRDefault="007A5E3C">
            <w:pPr>
              <w:widowControl w:val="0"/>
              <w:pBdr>
                <w:top w:val="nil"/>
                <w:left w:val="nil"/>
                <w:bottom w:val="nil"/>
                <w:right w:val="nil"/>
                <w:between w:val="nil"/>
              </w:pBdr>
              <w:spacing w:line="240" w:lineRule="auto"/>
              <w:jc w:val="center"/>
              <w:rPr>
                <w:highlight w:val="red"/>
              </w:rPr>
            </w:pPr>
          </w:p>
        </w:tc>
        <w:tc>
          <w:tcPr>
            <w:tcW w:w="1805" w:type="dxa"/>
            <w:shd w:val="clear" w:color="auto" w:fill="auto"/>
            <w:tcMar>
              <w:top w:w="100" w:type="dxa"/>
              <w:left w:w="100" w:type="dxa"/>
              <w:bottom w:w="100" w:type="dxa"/>
              <w:right w:w="100" w:type="dxa"/>
            </w:tcMar>
          </w:tcPr>
          <w:p w14:paraId="4C5575C6" w14:textId="77777777" w:rsidR="007A5E3C" w:rsidRDefault="007A5E3C">
            <w:pPr>
              <w:widowControl w:val="0"/>
              <w:pBdr>
                <w:top w:val="nil"/>
                <w:left w:val="nil"/>
                <w:bottom w:val="nil"/>
                <w:right w:val="nil"/>
                <w:between w:val="nil"/>
              </w:pBdr>
              <w:spacing w:line="240" w:lineRule="auto"/>
              <w:jc w:val="center"/>
            </w:pPr>
          </w:p>
        </w:tc>
        <w:tc>
          <w:tcPr>
            <w:tcW w:w="1805" w:type="dxa"/>
            <w:shd w:val="clear" w:color="auto" w:fill="auto"/>
            <w:tcMar>
              <w:top w:w="100" w:type="dxa"/>
              <w:left w:w="100" w:type="dxa"/>
              <w:bottom w:w="100" w:type="dxa"/>
              <w:right w:w="100" w:type="dxa"/>
            </w:tcMar>
          </w:tcPr>
          <w:p w14:paraId="05940859" w14:textId="77777777" w:rsidR="007A5E3C" w:rsidRDefault="007A5E3C">
            <w:pPr>
              <w:widowControl w:val="0"/>
              <w:pBdr>
                <w:top w:val="nil"/>
                <w:left w:val="nil"/>
                <w:bottom w:val="nil"/>
                <w:right w:val="nil"/>
                <w:between w:val="nil"/>
              </w:pBdr>
              <w:spacing w:line="240" w:lineRule="auto"/>
              <w:jc w:val="center"/>
            </w:pPr>
          </w:p>
        </w:tc>
      </w:tr>
      <w:tr w:rsidR="007A5E3C" w14:paraId="18410628" w14:textId="77777777">
        <w:tc>
          <w:tcPr>
            <w:tcW w:w="1805" w:type="dxa"/>
            <w:shd w:val="clear" w:color="auto" w:fill="auto"/>
            <w:tcMar>
              <w:top w:w="100" w:type="dxa"/>
              <w:left w:w="100" w:type="dxa"/>
              <w:bottom w:w="100" w:type="dxa"/>
              <w:right w:w="100" w:type="dxa"/>
            </w:tcMar>
          </w:tcPr>
          <w:p w14:paraId="71CEFE40" w14:textId="77777777" w:rsidR="007A5E3C" w:rsidRDefault="00000000">
            <w:pPr>
              <w:widowControl w:val="0"/>
              <w:spacing w:line="240" w:lineRule="auto"/>
              <w:jc w:val="center"/>
            </w:pPr>
            <w:r>
              <w:t xml:space="preserve">V </w:t>
            </w:r>
            <w:r>
              <w:rPr>
                <w:vertAlign w:val="subscript"/>
              </w:rPr>
              <w:t>Muestra 2</w:t>
            </w:r>
          </w:p>
        </w:tc>
        <w:tc>
          <w:tcPr>
            <w:tcW w:w="1805" w:type="dxa"/>
            <w:shd w:val="clear" w:color="auto" w:fill="auto"/>
            <w:tcMar>
              <w:top w:w="100" w:type="dxa"/>
              <w:left w:w="100" w:type="dxa"/>
              <w:bottom w:w="100" w:type="dxa"/>
              <w:right w:w="100" w:type="dxa"/>
            </w:tcMar>
          </w:tcPr>
          <w:p w14:paraId="2CFCD9B5" w14:textId="77777777" w:rsidR="007A5E3C" w:rsidRDefault="007A5E3C">
            <w:pPr>
              <w:widowControl w:val="0"/>
              <w:pBdr>
                <w:top w:val="nil"/>
                <w:left w:val="nil"/>
                <w:bottom w:val="nil"/>
                <w:right w:val="nil"/>
                <w:between w:val="nil"/>
              </w:pBdr>
              <w:spacing w:line="240" w:lineRule="auto"/>
              <w:jc w:val="center"/>
            </w:pPr>
          </w:p>
        </w:tc>
        <w:tc>
          <w:tcPr>
            <w:tcW w:w="1805" w:type="dxa"/>
            <w:shd w:val="clear" w:color="auto" w:fill="auto"/>
            <w:tcMar>
              <w:top w:w="100" w:type="dxa"/>
              <w:left w:w="100" w:type="dxa"/>
              <w:bottom w:w="100" w:type="dxa"/>
              <w:right w:w="100" w:type="dxa"/>
            </w:tcMar>
          </w:tcPr>
          <w:p w14:paraId="7B38C35A" w14:textId="77777777" w:rsidR="007A5E3C" w:rsidRDefault="007A5E3C">
            <w:pPr>
              <w:widowControl w:val="0"/>
              <w:pBdr>
                <w:top w:val="nil"/>
                <w:left w:val="nil"/>
                <w:bottom w:val="nil"/>
                <w:right w:val="nil"/>
                <w:between w:val="nil"/>
              </w:pBdr>
              <w:spacing w:line="240" w:lineRule="auto"/>
              <w:jc w:val="center"/>
            </w:pPr>
          </w:p>
        </w:tc>
        <w:tc>
          <w:tcPr>
            <w:tcW w:w="1805" w:type="dxa"/>
            <w:shd w:val="clear" w:color="auto" w:fill="auto"/>
            <w:tcMar>
              <w:top w:w="100" w:type="dxa"/>
              <w:left w:w="100" w:type="dxa"/>
              <w:bottom w:w="100" w:type="dxa"/>
              <w:right w:w="100" w:type="dxa"/>
            </w:tcMar>
          </w:tcPr>
          <w:p w14:paraId="4BAB424A" w14:textId="77777777" w:rsidR="007A5E3C" w:rsidRDefault="007A5E3C">
            <w:pPr>
              <w:widowControl w:val="0"/>
              <w:pBdr>
                <w:top w:val="nil"/>
                <w:left w:val="nil"/>
                <w:bottom w:val="nil"/>
                <w:right w:val="nil"/>
                <w:between w:val="nil"/>
              </w:pBdr>
              <w:spacing w:line="240" w:lineRule="auto"/>
              <w:jc w:val="center"/>
            </w:pPr>
          </w:p>
        </w:tc>
        <w:tc>
          <w:tcPr>
            <w:tcW w:w="1805" w:type="dxa"/>
            <w:shd w:val="clear" w:color="auto" w:fill="auto"/>
            <w:tcMar>
              <w:top w:w="100" w:type="dxa"/>
              <w:left w:w="100" w:type="dxa"/>
              <w:bottom w:w="100" w:type="dxa"/>
              <w:right w:w="100" w:type="dxa"/>
            </w:tcMar>
          </w:tcPr>
          <w:p w14:paraId="041AEE9F" w14:textId="77777777" w:rsidR="007A5E3C" w:rsidRDefault="007A5E3C">
            <w:pPr>
              <w:widowControl w:val="0"/>
              <w:pBdr>
                <w:top w:val="nil"/>
                <w:left w:val="nil"/>
                <w:bottom w:val="nil"/>
                <w:right w:val="nil"/>
                <w:between w:val="nil"/>
              </w:pBdr>
              <w:spacing w:line="240" w:lineRule="auto"/>
              <w:jc w:val="center"/>
            </w:pPr>
          </w:p>
        </w:tc>
      </w:tr>
      <w:tr w:rsidR="007A5E3C" w14:paraId="3B43A595" w14:textId="77777777">
        <w:tc>
          <w:tcPr>
            <w:tcW w:w="1805" w:type="dxa"/>
            <w:shd w:val="clear" w:color="auto" w:fill="auto"/>
            <w:tcMar>
              <w:top w:w="100" w:type="dxa"/>
              <w:left w:w="100" w:type="dxa"/>
              <w:bottom w:w="100" w:type="dxa"/>
              <w:right w:w="100" w:type="dxa"/>
            </w:tcMar>
          </w:tcPr>
          <w:p w14:paraId="1195EF72" w14:textId="77777777" w:rsidR="007A5E3C" w:rsidRDefault="00000000">
            <w:pPr>
              <w:widowControl w:val="0"/>
              <w:spacing w:line="240" w:lineRule="auto"/>
              <w:jc w:val="center"/>
            </w:pPr>
            <w:r>
              <w:t xml:space="preserve">V </w:t>
            </w:r>
            <w:r>
              <w:rPr>
                <w:vertAlign w:val="subscript"/>
              </w:rPr>
              <w:t>Muestra 3</w:t>
            </w:r>
          </w:p>
        </w:tc>
        <w:tc>
          <w:tcPr>
            <w:tcW w:w="1805" w:type="dxa"/>
            <w:shd w:val="clear" w:color="auto" w:fill="auto"/>
            <w:tcMar>
              <w:top w:w="100" w:type="dxa"/>
              <w:left w:w="100" w:type="dxa"/>
              <w:bottom w:w="100" w:type="dxa"/>
              <w:right w:w="100" w:type="dxa"/>
            </w:tcMar>
          </w:tcPr>
          <w:p w14:paraId="400FA3C2" w14:textId="77777777" w:rsidR="007A5E3C" w:rsidRDefault="007A5E3C">
            <w:pPr>
              <w:widowControl w:val="0"/>
              <w:pBdr>
                <w:top w:val="nil"/>
                <w:left w:val="nil"/>
                <w:bottom w:val="nil"/>
                <w:right w:val="nil"/>
                <w:between w:val="nil"/>
              </w:pBdr>
              <w:spacing w:line="240" w:lineRule="auto"/>
              <w:jc w:val="center"/>
            </w:pPr>
          </w:p>
        </w:tc>
        <w:tc>
          <w:tcPr>
            <w:tcW w:w="1805" w:type="dxa"/>
            <w:shd w:val="clear" w:color="auto" w:fill="auto"/>
            <w:tcMar>
              <w:top w:w="100" w:type="dxa"/>
              <w:left w:w="100" w:type="dxa"/>
              <w:bottom w:w="100" w:type="dxa"/>
              <w:right w:w="100" w:type="dxa"/>
            </w:tcMar>
          </w:tcPr>
          <w:p w14:paraId="330A1DEC" w14:textId="77777777" w:rsidR="007A5E3C" w:rsidRDefault="007A5E3C">
            <w:pPr>
              <w:widowControl w:val="0"/>
              <w:pBdr>
                <w:top w:val="nil"/>
                <w:left w:val="nil"/>
                <w:bottom w:val="nil"/>
                <w:right w:val="nil"/>
                <w:between w:val="nil"/>
              </w:pBdr>
              <w:spacing w:line="240" w:lineRule="auto"/>
              <w:jc w:val="center"/>
            </w:pPr>
          </w:p>
        </w:tc>
        <w:tc>
          <w:tcPr>
            <w:tcW w:w="1805" w:type="dxa"/>
            <w:shd w:val="clear" w:color="auto" w:fill="auto"/>
            <w:tcMar>
              <w:top w:w="100" w:type="dxa"/>
              <w:left w:w="100" w:type="dxa"/>
              <w:bottom w:w="100" w:type="dxa"/>
              <w:right w:w="100" w:type="dxa"/>
            </w:tcMar>
          </w:tcPr>
          <w:p w14:paraId="262AB569" w14:textId="77777777" w:rsidR="007A5E3C" w:rsidRDefault="007A5E3C">
            <w:pPr>
              <w:widowControl w:val="0"/>
              <w:pBdr>
                <w:top w:val="nil"/>
                <w:left w:val="nil"/>
                <w:bottom w:val="nil"/>
                <w:right w:val="nil"/>
                <w:between w:val="nil"/>
              </w:pBdr>
              <w:spacing w:line="240" w:lineRule="auto"/>
              <w:jc w:val="center"/>
            </w:pPr>
          </w:p>
        </w:tc>
        <w:tc>
          <w:tcPr>
            <w:tcW w:w="1805" w:type="dxa"/>
            <w:shd w:val="clear" w:color="auto" w:fill="auto"/>
            <w:tcMar>
              <w:top w:w="100" w:type="dxa"/>
              <w:left w:w="100" w:type="dxa"/>
              <w:bottom w:w="100" w:type="dxa"/>
              <w:right w:w="100" w:type="dxa"/>
            </w:tcMar>
          </w:tcPr>
          <w:p w14:paraId="4F7E4C58" w14:textId="77777777" w:rsidR="007A5E3C" w:rsidRDefault="007A5E3C">
            <w:pPr>
              <w:widowControl w:val="0"/>
              <w:pBdr>
                <w:top w:val="nil"/>
                <w:left w:val="nil"/>
                <w:bottom w:val="nil"/>
                <w:right w:val="nil"/>
                <w:between w:val="nil"/>
              </w:pBdr>
              <w:spacing w:line="240" w:lineRule="auto"/>
              <w:jc w:val="center"/>
            </w:pPr>
          </w:p>
        </w:tc>
      </w:tr>
    </w:tbl>
    <w:p w14:paraId="2D342843" w14:textId="77777777" w:rsidR="007A5E3C" w:rsidRDefault="00000000">
      <w:pPr>
        <w:spacing w:before="200" w:after="200"/>
        <w:jc w:val="both"/>
        <w:rPr>
          <w:sz w:val="24"/>
          <w:szCs w:val="24"/>
        </w:rPr>
      </w:pPr>
      <w:r>
        <w:rPr>
          <w:sz w:val="24"/>
          <w:szCs w:val="24"/>
        </w:rPr>
        <w:t xml:space="preserve">A continuación, se hace uso de la Ecuación 1, teniendo en cuenta que el volumen de la disolución desconocida que se pretende valorar es de 10 </w:t>
      </w:r>
      <w:proofErr w:type="spellStart"/>
      <w:r>
        <w:rPr>
          <w:sz w:val="24"/>
          <w:szCs w:val="24"/>
        </w:rPr>
        <w:t>mL</w:t>
      </w:r>
      <w:proofErr w:type="spellEnd"/>
      <w:r>
        <w:rPr>
          <w:sz w:val="24"/>
          <w:szCs w:val="24"/>
        </w:rPr>
        <w:t xml:space="preserve">, y se </w:t>
      </w:r>
      <w:r>
        <w:rPr>
          <w:b/>
          <w:sz w:val="24"/>
          <w:szCs w:val="24"/>
        </w:rPr>
        <w:t>determina la concentración</w:t>
      </w:r>
      <w:r>
        <w:rPr>
          <w:sz w:val="24"/>
          <w:szCs w:val="24"/>
        </w:rPr>
        <w:t xml:space="preserve"> (escribir los resultados obtenidos en la Tabla 2) para cada volumen de la Tabla 1.</w:t>
      </w:r>
    </w:p>
    <w:p w14:paraId="44F951BB" w14:textId="77777777" w:rsidR="007A5E3C" w:rsidRDefault="00000000">
      <w:pPr>
        <w:spacing w:before="200" w:after="200"/>
        <w:jc w:val="both"/>
        <w:rPr>
          <w:sz w:val="20"/>
          <w:szCs w:val="20"/>
        </w:rPr>
      </w:pPr>
      <w:r>
        <w:rPr>
          <w:sz w:val="20"/>
          <w:szCs w:val="20"/>
        </w:rPr>
        <w:t xml:space="preserve">Tabla 2.- Concentración de las muestras determinadas a partir de los volúmenes de la Tabla 1 y usando la ecuación 1. </w:t>
      </w:r>
    </w:p>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7A5E3C" w14:paraId="13732900" w14:textId="77777777">
        <w:trPr>
          <w:trHeight w:val="440"/>
        </w:trPr>
        <w:tc>
          <w:tcPr>
            <w:tcW w:w="1805" w:type="dxa"/>
            <w:shd w:val="clear" w:color="auto" w:fill="auto"/>
            <w:tcMar>
              <w:top w:w="100" w:type="dxa"/>
              <w:left w:w="100" w:type="dxa"/>
              <w:bottom w:w="100" w:type="dxa"/>
              <w:right w:w="100" w:type="dxa"/>
            </w:tcMar>
          </w:tcPr>
          <w:p w14:paraId="2BC14009" w14:textId="77777777" w:rsidR="007A5E3C" w:rsidRDefault="00000000">
            <w:pPr>
              <w:widowControl w:val="0"/>
              <w:spacing w:line="240" w:lineRule="auto"/>
              <w:jc w:val="center"/>
            </w:pPr>
            <w:r>
              <w:t>Técnicas</w:t>
            </w:r>
          </w:p>
        </w:tc>
        <w:tc>
          <w:tcPr>
            <w:tcW w:w="3610" w:type="dxa"/>
            <w:gridSpan w:val="2"/>
            <w:shd w:val="clear" w:color="auto" w:fill="auto"/>
            <w:tcMar>
              <w:top w:w="100" w:type="dxa"/>
              <w:left w:w="100" w:type="dxa"/>
              <w:bottom w:w="100" w:type="dxa"/>
              <w:right w:w="100" w:type="dxa"/>
            </w:tcMar>
          </w:tcPr>
          <w:p w14:paraId="2FC26F97" w14:textId="77777777" w:rsidR="007A5E3C" w:rsidRDefault="00000000">
            <w:pPr>
              <w:widowControl w:val="0"/>
              <w:spacing w:line="240" w:lineRule="auto"/>
              <w:jc w:val="center"/>
            </w:pPr>
            <w:r>
              <w:t>Potenciometría</w:t>
            </w:r>
          </w:p>
        </w:tc>
        <w:tc>
          <w:tcPr>
            <w:tcW w:w="3610" w:type="dxa"/>
            <w:gridSpan w:val="2"/>
            <w:shd w:val="clear" w:color="auto" w:fill="auto"/>
            <w:tcMar>
              <w:top w:w="100" w:type="dxa"/>
              <w:left w:w="100" w:type="dxa"/>
              <w:bottom w:w="100" w:type="dxa"/>
              <w:right w:w="100" w:type="dxa"/>
            </w:tcMar>
          </w:tcPr>
          <w:p w14:paraId="513FB0EC" w14:textId="77777777" w:rsidR="007A5E3C" w:rsidRDefault="00000000">
            <w:pPr>
              <w:widowControl w:val="0"/>
              <w:spacing w:line="240" w:lineRule="auto"/>
              <w:jc w:val="center"/>
            </w:pPr>
            <w:r>
              <w:t>Colorimetría</w:t>
            </w:r>
          </w:p>
        </w:tc>
      </w:tr>
      <w:tr w:rsidR="007A5E3C" w14:paraId="78285846" w14:textId="77777777">
        <w:tc>
          <w:tcPr>
            <w:tcW w:w="1805" w:type="dxa"/>
            <w:shd w:val="clear" w:color="auto" w:fill="auto"/>
            <w:tcMar>
              <w:top w:w="100" w:type="dxa"/>
              <w:left w:w="100" w:type="dxa"/>
              <w:bottom w:w="100" w:type="dxa"/>
              <w:right w:w="100" w:type="dxa"/>
            </w:tcMar>
          </w:tcPr>
          <w:p w14:paraId="43F8A19E" w14:textId="77777777" w:rsidR="007A5E3C" w:rsidRDefault="00000000">
            <w:pPr>
              <w:widowControl w:val="0"/>
              <w:spacing w:line="240" w:lineRule="auto"/>
              <w:jc w:val="center"/>
            </w:pPr>
            <w:r>
              <w:t>Valorantes</w:t>
            </w:r>
          </w:p>
        </w:tc>
        <w:tc>
          <w:tcPr>
            <w:tcW w:w="1805" w:type="dxa"/>
            <w:shd w:val="clear" w:color="auto" w:fill="auto"/>
            <w:tcMar>
              <w:top w:w="100" w:type="dxa"/>
              <w:left w:w="100" w:type="dxa"/>
              <w:bottom w:w="100" w:type="dxa"/>
              <w:right w:w="100" w:type="dxa"/>
            </w:tcMar>
          </w:tcPr>
          <w:p w14:paraId="345D0237" w14:textId="77777777" w:rsidR="007A5E3C" w:rsidRDefault="00000000">
            <w:pPr>
              <w:widowControl w:val="0"/>
              <w:spacing w:line="240" w:lineRule="auto"/>
              <w:jc w:val="center"/>
            </w:pPr>
            <w:r>
              <w:t>[NaOH] 0,151M</w:t>
            </w:r>
          </w:p>
        </w:tc>
        <w:tc>
          <w:tcPr>
            <w:tcW w:w="1805" w:type="dxa"/>
            <w:shd w:val="clear" w:color="auto" w:fill="auto"/>
            <w:tcMar>
              <w:top w:w="100" w:type="dxa"/>
              <w:left w:w="100" w:type="dxa"/>
              <w:bottom w:w="100" w:type="dxa"/>
              <w:right w:w="100" w:type="dxa"/>
            </w:tcMar>
          </w:tcPr>
          <w:p w14:paraId="6F2ACD52" w14:textId="77777777" w:rsidR="007A5E3C" w:rsidRDefault="00000000">
            <w:pPr>
              <w:widowControl w:val="0"/>
              <w:spacing w:line="240" w:lineRule="auto"/>
              <w:jc w:val="center"/>
            </w:pPr>
            <w:r>
              <w:t>[NaOH] 0,244 M</w:t>
            </w:r>
          </w:p>
        </w:tc>
        <w:tc>
          <w:tcPr>
            <w:tcW w:w="1805" w:type="dxa"/>
            <w:shd w:val="clear" w:color="auto" w:fill="auto"/>
            <w:tcMar>
              <w:top w:w="100" w:type="dxa"/>
              <w:left w:w="100" w:type="dxa"/>
              <w:bottom w:w="100" w:type="dxa"/>
              <w:right w:w="100" w:type="dxa"/>
            </w:tcMar>
          </w:tcPr>
          <w:p w14:paraId="5813BEB8" w14:textId="77777777" w:rsidR="007A5E3C" w:rsidRDefault="00000000">
            <w:pPr>
              <w:widowControl w:val="0"/>
              <w:spacing w:line="240" w:lineRule="auto"/>
              <w:jc w:val="center"/>
            </w:pPr>
            <w:r>
              <w:t>[NaOH] 0,151M</w:t>
            </w:r>
          </w:p>
        </w:tc>
        <w:tc>
          <w:tcPr>
            <w:tcW w:w="1805" w:type="dxa"/>
            <w:shd w:val="clear" w:color="auto" w:fill="auto"/>
            <w:tcMar>
              <w:top w:w="100" w:type="dxa"/>
              <w:left w:w="100" w:type="dxa"/>
              <w:bottom w:w="100" w:type="dxa"/>
              <w:right w:w="100" w:type="dxa"/>
            </w:tcMar>
          </w:tcPr>
          <w:p w14:paraId="08888378" w14:textId="77777777" w:rsidR="007A5E3C" w:rsidRDefault="00000000">
            <w:pPr>
              <w:widowControl w:val="0"/>
              <w:spacing w:line="240" w:lineRule="auto"/>
              <w:jc w:val="center"/>
            </w:pPr>
            <w:r>
              <w:t>[NaOH] 0,244 M</w:t>
            </w:r>
          </w:p>
        </w:tc>
      </w:tr>
      <w:tr w:rsidR="007A5E3C" w14:paraId="3B5DBCE8" w14:textId="77777777">
        <w:tc>
          <w:tcPr>
            <w:tcW w:w="1805" w:type="dxa"/>
            <w:shd w:val="clear" w:color="auto" w:fill="auto"/>
            <w:tcMar>
              <w:top w:w="100" w:type="dxa"/>
              <w:left w:w="100" w:type="dxa"/>
              <w:bottom w:w="100" w:type="dxa"/>
              <w:right w:w="100" w:type="dxa"/>
            </w:tcMar>
          </w:tcPr>
          <w:p w14:paraId="3ECF72C9" w14:textId="77777777" w:rsidR="007A5E3C" w:rsidRDefault="00000000">
            <w:pPr>
              <w:widowControl w:val="0"/>
              <w:spacing w:line="240" w:lineRule="auto"/>
              <w:jc w:val="center"/>
              <w:rPr>
                <w:vertAlign w:val="subscript"/>
              </w:rPr>
            </w:pPr>
            <w:r>
              <w:t xml:space="preserve">C </w:t>
            </w:r>
            <w:r>
              <w:rPr>
                <w:vertAlign w:val="subscript"/>
              </w:rPr>
              <w:t>Muestra 1</w:t>
            </w:r>
          </w:p>
        </w:tc>
        <w:tc>
          <w:tcPr>
            <w:tcW w:w="1805" w:type="dxa"/>
            <w:shd w:val="clear" w:color="auto" w:fill="auto"/>
            <w:tcMar>
              <w:top w:w="100" w:type="dxa"/>
              <w:left w:w="100" w:type="dxa"/>
              <w:bottom w:w="100" w:type="dxa"/>
              <w:right w:w="100" w:type="dxa"/>
            </w:tcMar>
          </w:tcPr>
          <w:p w14:paraId="37735E83" w14:textId="77777777" w:rsidR="007A5E3C" w:rsidRDefault="007A5E3C">
            <w:pPr>
              <w:widowControl w:val="0"/>
              <w:spacing w:line="240" w:lineRule="auto"/>
              <w:jc w:val="center"/>
            </w:pPr>
          </w:p>
        </w:tc>
        <w:tc>
          <w:tcPr>
            <w:tcW w:w="1805" w:type="dxa"/>
            <w:shd w:val="clear" w:color="auto" w:fill="auto"/>
            <w:tcMar>
              <w:top w:w="100" w:type="dxa"/>
              <w:left w:w="100" w:type="dxa"/>
              <w:bottom w:w="100" w:type="dxa"/>
              <w:right w:w="100" w:type="dxa"/>
            </w:tcMar>
          </w:tcPr>
          <w:p w14:paraId="5FFDAB18" w14:textId="77777777" w:rsidR="007A5E3C" w:rsidRDefault="007A5E3C">
            <w:pPr>
              <w:widowControl w:val="0"/>
              <w:spacing w:line="240" w:lineRule="auto"/>
              <w:jc w:val="center"/>
              <w:rPr>
                <w:highlight w:val="red"/>
              </w:rPr>
            </w:pPr>
          </w:p>
        </w:tc>
        <w:tc>
          <w:tcPr>
            <w:tcW w:w="1805" w:type="dxa"/>
            <w:shd w:val="clear" w:color="auto" w:fill="auto"/>
            <w:tcMar>
              <w:top w:w="100" w:type="dxa"/>
              <w:left w:w="100" w:type="dxa"/>
              <w:bottom w:w="100" w:type="dxa"/>
              <w:right w:w="100" w:type="dxa"/>
            </w:tcMar>
          </w:tcPr>
          <w:p w14:paraId="219999F4" w14:textId="77777777" w:rsidR="007A5E3C" w:rsidRDefault="007A5E3C">
            <w:pPr>
              <w:widowControl w:val="0"/>
              <w:spacing w:line="240" w:lineRule="auto"/>
              <w:jc w:val="center"/>
            </w:pPr>
          </w:p>
        </w:tc>
        <w:tc>
          <w:tcPr>
            <w:tcW w:w="1805" w:type="dxa"/>
            <w:shd w:val="clear" w:color="auto" w:fill="auto"/>
            <w:tcMar>
              <w:top w:w="100" w:type="dxa"/>
              <w:left w:w="100" w:type="dxa"/>
              <w:bottom w:w="100" w:type="dxa"/>
              <w:right w:w="100" w:type="dxa"/>
            </w:tcMar>
          </w:tcPr>
          <w:p w14:paraId="1CB3DE24" w14:textId="77777777" w:rsidR="007A5E3C" w:rsidRDefault="007A5E3C">
            <w:pPr>
              <w:widowControl w:val="0"/>
              <w:spacing w:line="240" w:lineRule="auto"/>
              <w:jc w:val="center"/>
            </w:pPr>
          </w:p>
        </w:tc>
      </w:tr>
      <w:tr w:rsidR="007A5E3C" w14:paraId="36CB80B7" w14:textId="77777777">
        <w:tc>
          <w:tcPr>
            <w:tcW w:w="1805" w:type="dxa"/>
            <w:shd w:val="clear" w:color="auto" w:fill="auto"/>
            <w:tcMar>
              <w:top w:w="100" w:type="dxa"/>
              <w:left w:w="100" w:type="dxa"/>
              <w:bottom w:w="100" w:type="dxa"/>
              <w:right w:w="100" w:type="dxa"/>
            </w:tcMar>
          </w:tcPr>
          <w:p w14:paraId="1624E21B" w14:textId="77777777" w:rsidR="007A5E3C" w:rsidRDefault="00000000">
            <w:pPr>
              <w:widowControl w:val="0"/>
              <w:spacing w:line="240" w:lineRule="auto"/>
              <w:jc w:val="center"/>
            </w:pPr>
            <w:r>
              <w:t xml:space="preserve">C </w:t>
            </w:r>
            <w:r>
              <w:rPr>
                <w:vertAlign w:val="subscript"/>
              </w:rPr>
              <w:t>Muestra 2</w:t>
            </w:r>
          </w:p>
        </w:tc>
        <w:tc>
          <w:tcPr>
            <w:tcW w:w="1805" w:type="dxa"/>
            <w:shd w:val="clear" w:color="auto" w:fill="auto"/>
            <w:tcMar>
              <w:top w:w="100" w:type="dxa"/>
              <w:left w:w="100" w:type="dxa"/>
              <w:bottom w:w="100" w:type="dxa"/>
              <w:right w:w="100" w:type="dxa"/>
            </w:tcMar>
          </w:tcPr>
          <w:p w14:paraId="2002E6C6" w14:textId="77777777" w:rsidR="007A5E3C" w:rsidRDefault="007A5E3C">
            <w:pPr>
              <w:widowControl w:val="0"/>
              <w:spacing w:line="240" w:lineRule="auto"/>
              <w:jc w:val="center"/>
            </w:pPr>
          </w:p>
        </w:tc>
        <w:tc>
          <w:tcPr>
            <w:tcW w:w="1805" w:type="dxa"/>
            <w:shd w:val="clear" w:color="auto" w:fill="auto"/>
            <w:tcMar>
              <w:top w:w="100" w:type="dxa"/>
              <w:left w:w="100" w:type="dxa"/>
              <w:bottom w:w="100" w:type="dxa"/>
              <w:right w:w="100" w:type="dxa"/>
            </w:tcMar>
          </w:tcPr>
          <w:p w14:paraId="2A5BFFEA" w14:textId="77777777" w:rsidR="007A5E3C" w:rsidRDefault="007A5E3C">
            <w:pPr>
              <w:widowControl w:val="0"/>
              <w:spacing w:line="240" w:lineRule="auto"/>
              <w:jc w:val="center"/>
            </w:pPr>
          </w:p>
        </w:tc>
        <w:tc>
          <w:tcPr>
            <w:tcW w:w="1805" w:type="dxa"/>
            <w:shd w:val="clear" w:color="auto" w:fill="auto"/>
            <w:tcMar>
              <w:top w:w="100" w:type="dxa"/>
              <w:left w:w="100" w:type="dxa"/>
              <w:bottom w:w="100" w:type="dxa"/>
              <w:right w:w="100" w:type="dxa"/>
            </w:tcMar>
          </w:tcPr>
          <w:p w14:paraId="26758083" w14:textId="77777777" w:rsidR="007A5E3C" w:rsidRDefault="007A5E3C">
            <w:pPr>
              <w:widowControl w:val="0"/>
              <w:spacing w:line="240" w:lineRule="auto"/>
              <w:jc w:val="center"/>
            </w:pPr>
          </w:p>
        </w:tc>
        <w:tc>
          <w:tcPr>
            <w:tcW w:w="1805" w:type="dxa"/>
            <w:shd w:val="clear" w:color="auto" w:fill="auto"/>
            <w:tcMar>
              <w:top w:w="100" w:type="dxa"/>
              <w:left w:w="100" w:type="dxa"/>
              <w:bottom w:w="100" w:type="dxa"/>
              <w:right w:w="100" w:type="dxa"/>
            </w:tcMar>
          </w:tcPr>
          <w:p w14:paraId="04CFE687" w14:textId="77777777" w:rsidR="007A5E3C" w:rsidRDefault="007A5E3C">
            <w:pPr>
              <w:widowControl w:val="0"/>
              <w:spacing w:line="240" w:lineRule="auto"/>
              <w:jc w:val="center"/>
            </w:pPr>
          </w:p>
        </w:tc>
      </w:tr>
      <w:tr w:rsidR="007A5E3C" w14:paraId="748429D3" w14:textId="77777777">
        <w:tc>
          <w:tcPr>
            <w:tcW w:w="1805" w:type="dxa"/>
            <w:shd w:val="clear" w:color="auto" w:fill="auto"/>
            <w:tcMar>
              <w:top w:w="100" w:type="dxa"/>
              <w:left w:w="100" w:type="dxa"/>
              <w:bottom w:w="100" w:type="dxa"/>
              <w:right w:w="100" w:type="dxa"/>
            </w:tcMar>
          </w:tcPr>
          <w:p w14:paraId="3815C4BF" w14:textId="77777777" w:rsidR="007A5E3C" w:rsidRDefault="00000000">
            <w:pPr>
              <w:widowControl w:val="0"/>
              <w:spacing w:line="240" w:lineRule="auto"/>
              <w:jc w:val="center"/>
            </w:pPr>
            <w:r>
              <w:t xml:space="preserve">C </w:t>
            </w:r>
            <w:r>
              <w:rPr>
                <w:vertAlign w:val="subscript"/>
              </w:rPr>
              <w:t>Muestra 3</w:t>
            </w:r>
          </w:p>
        </w:tc>
        <w:tc>
          <w:tcPr>
            <w:tcW w:w="1805" w:type="dxa"/>
            <w:shd w:val="clear" w:color="auto" w:fill="auto"/>
            <w:tcMar>
              <w:top w:w="100" w:type="dxa"/>
              <w:left w:w="100" w:type="dxa"/>
              <w:bottom w:w="100" w:type="dxa"/>
              <w:right w:w="100" w:type="dxa"/>
            </w:tcMar>
          </w:tcPr>
          <w:p w14:paraId="3629AC2D" w14:textId="77777777" w:rsidR="007A5E3C" w:rsidRDefault="007A5E3C">
            <w:pPr>
              <w:widowControl w:val="0"/>
              <w:spacing w:line="240" w:lineRule="auto"/>
              <w:jc w:val="center"/>
            </w:pPr>
          </w:p>
        </w:tc>
        <w:tc>
          <w:tcPr>
            <w:tcW w:w="1805" w:type="dxa"/>
            <w:shd w:val="clear" w:color="auto" w:fill="auto"/>
            <w:tcMar>
              <w:top w:w="100" w:type="dxa"/>
              <w:left w:w="100" w:type="dxa"/>
              <w:bottom w:w="100" w:type="dxa"/>
              <w:right w:w="100" w:type="dxa"/>
            </w:tcMar>
          </w:tcPr>
          <w:p w14:paraId="77BF1D8D" w14:textId="77777777" w:rsidR="007A5E3C" w:rsidRDefault="007A5E3C">
            <w:pPr>
              <w:widowControl w:val="0"/>
              <w:spacing w:line="240" w:lineRule="auto"/>
              <w:jc w:val="center"/>
            </w:pPr>
          </w:p>
        </w:tc>
        <w:tc>
          <w:tcPr>
            <w:tcW w:w="1805" w:type="dxa"/>
            <w:shd w:val="clear" w:color="auto" w:fill="auto"/>
            <w:tcMar>
              <w:top w:w="100" w:type="dxa"/>
              <w:left w:w="100" w:type="dxa"/>
              <w:bottom w:w="100" w:type="dxa"/>
              <w:right w:w="100" w:type="dxa"/>
            </w:tcMar>
          </w:tcPr>
          <w:p w14:paraId="79DD96F1" w14:textId="77777777" w:rsidR="007A5E3C" w:rsidRDefault="007A5E3C">
            <w:pPr>
              <w:widowControl w:val="0"/>
              <w:spacing w:line="240" w:lineRule="auto"/>
              <w:jc w:val="center"/>
            </w:pPr>
          </w:p>
        </w:tc>
        <w:tc>
          <w:tcPr>
            <w:tcW w:w="1805" w:type="dxa"/>
            <w:shd w:val="clear" w:color="auto" w:fill="auto"/>
            <w:tcMar>
              <w:top w:w="100" w:type="dxa"/>
              <w:left w:w="100" w:type="dxa"/>
              <w:bottom w:w="100" w:type="dxa"/>
              <w:right w:w="100" w:type="dxa"/>
            </w:tcMar>
          </w:tcPr>
          <w:p w14:paraId="44F48AF8" w14:textId="77777777" w:rsidR="007A5E3C" w:rsidRDefault="007A5E3C">
            <w:pPr>
              <w:widowControl w:val="0"/>
              <w:spacing w:line="240" w:lineRule="auto"/>
              <w:jc w:val="center"/>
            </w:pPr>
          </w:p>
        </w:tc>
      </w:tr>
    </w:tbl>
    <w:p w14:paraId="0D458CC6" w14:textId="77777777" w:rsidR="007A5E3C" w:rsidRDefault="00000000">
      <w:pPr>
        <w:spacing w:before="200" w:after="200"/>
        <w:jc w:val="both"/>
        <w:rPr>
          <w:sz w:val="24"/>
          <w:szCs w:val="24"/>
        </w:rPr>
      </w:pPr>
      <w:r>
        <w:rPr>
          <w:sz w:val="24"/>
          <w:szCs w:val="24"/>
        </w:rPr>
        <w:t xml:space="preserve">Una vez determinada la concentración de cada muestra para los distintos valorantes, se procede a responder a las siguientes preguntas presentes en el siguiente apartado de la actividad. </w:t>
      </w:r>
    </w:p>
    <w:p w14:paraId="3E1302CA" w14:textId="1293519C" w:rsidR="007A5E3C" w:rsidRDefault="007A5E3C">
      <w:pPr>
        <w:spacing w:before="200" w:after="200"/>
        <w:jc w:val="both"/>
        <w:rPr>
          <w:sz w:val="24"/>
          <w:szCs w:val="24"/>
        </w:rPr>
      </w:pPr>
    </w:p>
    <w:p w14:paraId="38AE7B9B" w14:textId="77777777" w:rsidR="006B5AAB" w:rsidRDefault="006B5AAB">
      <w:pPr>
        <w:spacing w:before="200" w:after="200"/>
        <w:jc w:val="both"/>
        <w:rPr>
          <w:sz w:val="24"/>
          <w:szCs w:val="24"/>
        </w:rPr>
      </w:pPr>
    </w:p>
    <w:tbl>
      <w:tblPr>
        <w:tblStyle w:val="a8"/>
        <w:tblW w:w="9029" w:type="dxa"/>
        <w:tblInd w:w="0" w:type="dxa"/>
        <w:tblLayout w:type="fixed"/>
        <w:tblLook w:val="0600" w:firstRow="0" w:lastRow="0" w:firstColumn="0" w:lastColumn="0" w:noHBand="1" w:noVBand="1"/>
      </w:tblPr>
      <w:tblGrid>
        <w:gridCol w:w="9029"/>
      </w:tblGrid>
      <w:tr w:rsidR="007A5E3C" w14:paraId="2233833A" w14:textId="77777777">
        <w:tc>
          <w:tcPr>
            <w:tcW w:w="9029" w:type="dxa"/>
            <w:shd w:val="clear" w:color="auto" w:fill="6AA84F"/>
            <w:tcMar>
              <w:top w:w="-13" w:type="dxa"/>
              <w:left w:w="-13" w:type="dxa"/>
              <w:bottom w:w="-13" w:type="dxa"/>
              <w:right w:w="-13" w:type="dxa"/>
            </w:tcMar>
          </w:tcPr>
          <w:p w14:paraId="7A5ECEE1" w14:textId="77777777" w:rsidR="007A5E3C" w:rsidRDefault="00000000">
            <w:pPr>
              <w:pStyle w:val="Ttulo1"/>
              <w:spacing w:before="0" w:after="0"/>
              <w:jc w:val="center"/>
              <w:rPr>
                <w:b/>
                <w:color w:val="FFFFFF"/>
                <w:sz w:val="36"/>
                <w:szCs w:val="36"/>
              </w:rPr>
            </w:pPr>
            <w:bookmarkStart w:id="6" w:name="_y8brvyfkf518" w:colFirst="0" w:colLast="0"/>
            <w:bookmarkEnd w:id="6"/>
            <w:r>
              <w:rPr>
                <w:b/>
                <w:color w:val="FFFFFF"/>
                <w:sz w:val="36"/>
                <w:szCs w:val="36"/>
              </w:rPr>
              <w:t>Cuestiones</w:t>
            </w:r>
          </w:p>
        </w:tc>
      </w:tr>
    </w:tbl>
    <w:p w14:paraId="2D3E1AB8" w14:textId="77777777" w:rsidR="007A5E3C" w:rsidRDefault="00000000">
      <w:pPr>
        <w:numPr>
          <w:ilvl w:val="0"/>
          <w:numId w:val="2"/>
        </w:numPr>
        <w:spacing w:before="200" w:after="200"/>
        <w:jc w:val="both"/>
        <w:rPr>
          <w:sz w:val="24"/>
          <w:szCs w:val="24"/>
        </w:rPr>
      </w:pPr>
      <w:r>
        <w:rPr>
          <w:sz w:val="24"/>
          <w:szCs w:val="24"/>
        </w:rPr>
        <w:t>¿Las tres muestras distintas proporcionadas por el laboratorio, contienen la misma concentración o tienen distinta concentración? ¿Qué muestra es la de mayor concentración? ¿Y la de menor?</w:t>
      </w:r>
    </w:p>
    <w:p w14:paraId="4293C5BB" w14:textId="77777777" w:rsidR="007A5E3C"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r>
        <w:rPr>
          <w:rFonts w:ascii="Calibri" w:eastAsia="Calibri" w:hAnsi="Calibri" w:cs="Calibri"/>
          <w:sz w:val="24"/>
          <w:szCs w:val="24"/>
        </w:rPr>
        <w:t>Respuesta y justificación:</w:t>
      </w:r>
    </w:p>
    <w:p w14:paraId="3A157C50"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654ED9AF"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1D01F980"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6FCD5EB1"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34B6992C"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5C1F03FA"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2CE8633D"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6A33F7B2"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66B24E04" w14:textId="77777777" w:rsidR="007A5E3C" w:rsidRDefault="007A5E3C">
      <w:pPr>
        <w:spacing w:before="200" w:after="200"/>
        <w:jc w:val="both"/>
        <w:rPr>
          <w:sz w:val="24"/>
          <w:szCs w:val="24"/>
        </w:rPr>
      </w:pPr>
    </w:p>
    <w:p w14:paraId="6167CDF0" w14:textId="77777777" w:rsidR="007A5E3C" w:rsidRDefault="00000000">
      <w:pPr>
        <w:numPr>
          <w:ilvl w:val="0"/>
          <w:numId w:val="2"/>
        </w:numPr>
        <w:spacing w:before="200" w:after="200"/>
        <w:jc w:val="both"/>
        <w:rPr>
          <w:sz w:val="24"/>
          <w:szCs w:val="24"/>
        </w:rPr>
      </w:pPr>
      <w:r>
        <w:rPr>
          <w:sz w:val="24"/>
          <w:szCs w:val="24"/>
        </w:rPr>
        <w:t>¿La concentración de la muestra desconocida (el analito) se ve influenciada por la concentración del valorante, es decir, se aprecia un aumento o disminución de la concentración de la muestra al valorar con un valorante de mayor o menor concentración?¿Y se observa algún cambio en el volumen de valorante gastado al emplear valorantes de distintas concentraciones?</w:t>
      </w:r>
    </w:p>
    <w:p w14:paraId="66544BE6" w14:textId="77777777" w:rsidR="007A5E3C"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r>
        <w:rPr>
          <w:rFonts w:ascii="Calibri" w:eastAsia="Calibri" w:hAnsi="Calibri" w:cs="Calibri"/>
          <w:sz w:val="24"/>
          <w:szCs w:val="24"/>
        </w:rPr>
        <w:t>Respuesta y justificación:</w:t>
      </w:r>
    </w:p>
    <w:p w14:paraId="4AF09CFB"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0BC32EA4"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59E0FACE"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270297A4"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29802A26"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34DDB6CB"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38BA4C0F"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rFonts w:ascii="Calibri" w:eastAsia="Calibri" w:hAnsi="Calibri" w:cs="Calibri"/>
          <w:color w:val="0000FF"/>
          <w:sz w:val="24"/>
          <w:szCs w:val="24"/>
        </w:rPr>
      </w:pPr>
    </w:p>
    <w:p w14:paraId="5E04ABC5" w14:textId="77777777" w:rsidR="007A5E3C" w:rsidRDefault="007A5E3C">
      <w:pPr>
        <w:spacing w:before="200" w:after="200"/>
        <w:ind w:left="720"/>
        <w:jc w:val="both"/>
        <w:rPr>
          <w:sz w:val="24"/>
          <w:szCs w:val="24"/>
        </w:rPr>
      </w:pPr>
    </w:p>
    <w:p w14:paraId="743E99FA" w14:textId="77777777" w:rsidR="007A5E3C" w:rsidRDefault="00000000">
      <w:pPr>
        <w:numPr>
          <w:ilvl w:val="0"/>
          <w:numId w:val="2"/>
        </w:numPr>
        <w:spacing w:before="200" w:after="200"/>
        <w:jc w:val="both"/>
        <w:rPr>
          <w:sz w:val="24"/>
          <w:szCs w:val="24"/>
        </w:rPr>
      </w:pPr>
      <w:r>
        <w:rPr>
          <w:sz w:val="24"/>
          <w:szCs w:val="24"/>
        </w:rPr>
        <w:t>¿Qué técnica es más precisa, es decir, mide el punto de equivalencia con mayor exactitud?¿La potenciometría o la colorimetría?</w:t>
      </w:r>
    </w:p>
    <w:p w14:paraId="20A5FDDD" w14:textId="77777777" w:rsidR="007A5E3C" w:rsidRDefault="00000000">
      <w:pPr>
        <w:pBdr>
          <w:top w:val="single" w:sz="8" w:space="1" w:color="000000"/>
          <w:left w:val="single" w:sz="8" w:space="4" w:color="000000"/>
          <w:bottom w:val="single" w:sz="8" w:space="1" w:color="000000"/>
          <w:right w:val="single" w:sz="8" w:space="4" w:color="000000"/>
        </w:pBdr>
        <w:spacing w:after="200"/>
      </w:pPr>
      <w:r>
        <w:rPr>
          <w:rFonts w:ascii="Calibri" w:eastAsia="Calibri" w:hAnsi="Calibri" w:cs="Calibri"/>
          <w:sz w:val="24"/>
          <w:szCs w:val="24"/>
        </w:rPr>
        <w:t>Respuesta y justificación:</w:t>
      </w:r>
    </w:p>
    <w:p w14:paraId="1B08CC72"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color w:val="0000FF"/>
          <w:sz w:val="24"/>
          <w:szCs w:val="24"/>
        </w:rPr>
      </w:pPr>
    </w:p>
    <w:p w14:paraId="3B97FDFE"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color w:val="0000FF"/>
          <w:sz w:val="24"/>
          <w:szCs w:val="24"/>
        </w:rPr>
      </w:pPr>
    </w:p>
    <w:p w14:paraId="50F7C52D"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color w:val="0000FF"/>
          <w:sz w:val="24"/>
          <w:szCs w:val="24"/>
        </w:rPr>
      </w:pPr>
    </w:p>
    <w:p w14:paraId="4C542943"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color w:val="0000FF"/>
          <w:sz w:val="24"/>
          <w:szCs w:val="24"/>
        </w:rPr>
      </w:pPr>
    </w:p>
    <w:p w14:paraId="53BFC7FB"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color w:val="0000FF"/>
          <w:sz w:val="24"/>
          <w:szCs w:val="24"/>
        </w:rPr>
      </w:pPr>
    </w:p>
    <w:p w14:paraId="7F67BD73"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color w:val="0000FF"/>
          <w:sz w:val="24"/>
          <w:szCs w:val="24"/>
        </w:rPr>
      </w:pPr>
    </w:p>
    <w:p w14:paraId="49DBD9BD"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color w:val="0000FF"/>
          <w:sz w:val="24"/>
          <w:szCs w:val="24"/>
        </w:rPr>
      </w:pPr>
    </w:p>
    <w:p w14:paraId="123D1655"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color w:val="0000FF"/>
          <w:sz w:val="24"/>
          <w:szCs w:val="24"/>
        </w:rPr>
      </w:pPr>
    </w:p>
    <w:p w14:paraId="4C8E7938" w14:textId="77777777" w:rsidR="007A5E3C" w:rsidRDefault="007A5E3C">
      <w:pPr>
        <w:pBdr>
          <w:top w:val="single" w:sz="8" w:space="1" w:color="000000"/>
          <w:left w:val="single" w:sz="8" w:space="4" w:color="000000"/>
          <w:bottom w:val="single" w:sz="8" w:space="1" w:color="000000"/>
          <w:right w:val="single" w:sz="8" w:space="4" w:color="000000"/>
        </w:pBdr>
        <w:spacing w:after="200"/>
        <w:jc w:val="both"/>
        <w:rPr>
          <w:color w:val="0000FF"/>
          <w:sz w:val="24"/>
          <w:szCs w:val="24"/>
        </w:rPr>
      </w:pPr>
    </w:p>
    <w:p w14:paraId="10CD37FB" w14:textId="77777777" w:rsidR="007A5E3C" w:rsidRDefault="007A5E3C">
      <w:pPr>
        <w:spacing w:before="200" w:after="200"/>
        <w:ind w:left="720"/>
        <w:jc w:val="both"/>
        <w:rPr>
          <w:sz w:val="24"/>
          <w:szCs w:val="24"/>
        </w:rPr>
      </w:pPr>
    </w:p>
    <w:p w14:paraId="2BE95B79" w14:textId="77777777" w:rsidR="007A5E3C" w:rsidRDefault="00000000">
      <w:pPr>
        <w:numPr>
          <w:ilvl w:val="0"/>
          <w:numId w:val="2"/>
        </w:numPr>
        <w:spacing w:before="200" w:after="200"/>
        <w:jc w:val="both"/>
        <w:rPr>
          <w:sz w:val="24"/>
          <w:szCs w:val="24"/>
        </w:rPr>
      </w:pPr>
      <w:r>
        <w:rPr>
          <w:sz w:val="24"/>
          <w:szCs w:val="24"/>
        </w:rPr>
        <w:t xml:space="preserve">Teniendo en cuenta que el punto de viraje de esta valoración ácido-base se da a un pH 8,2, ¿cuál crees que es el indicador empleado en esta práctica? Haz uso del siguiente enlace que te lleva a una tabla de indicadores ácido-base más utilizados: </w:t>
      </w:r>
      <w:hyperlink r:id="rId16">
        <w:r>
          <w:rPr>
            <w:color w:val="1155CC"/>
            <w:sz w:val="24"/>
            <w:szCs w:val="24"/>
            <w:u w:val="single"/>
          </w:rPr>
          <w:t>http://www.vaxasoftware.com/doc_edu/qui/indic.pdf</w:t>
        </w:r>
      </w:hyperlink>
    </w:p>
    <w:p w14:paraId="3266E8C8" w14:textId="77777777" w:rsidR="007A5E3C"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sz w:val="24"/>
          <w:szCs w:val="24"/>
        </w:rPr>
      </w:pPr>
      <w:r>
        <w:rPr>
          <w:rFonts w:ascii="Calibri" w:eastAsia="Calibri" w:hAnsi="Calibri" w:cs="Calibri"/>
          <w:sz w:val="24"/>
          <w:szCs w:val="24"/>
        </w:rPr>
        <w:t>Respuesta y justificación:</w:t>
      </w:r>
    </w:p>
    <w:p w14:paraId="30FD007F" w14:textId="77777777" w:rsidR="007A5E3C" w:rsidRDefault="007A5E3C">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7508D8AF" w14:textId="77777777" w:rsidR="007A5E3C" w:rsidRDefault="007A5E3C">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6F6D9587" w14:textId="77777777" w:rsidR="007A5E3C" w:rsidRDefault="007A5E3C">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5A0E41DF" w14:textId="77777777" w:rsidR="007A5E3C" w:rsidRDefault="007A5E3C">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7001DC27" w14:textId="77777777" w:rsidR="007A5E3C" w:rsidRDefault="007A5E3C">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1267C3B3" w14:textId="77777777" w:rsidR="007A5E3C" w:rsidRDefault="007A5E3C">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31CB6380" w14:textId="77777777" w:rsidR="007A5E3C" w:rsidRDefault="007A5E3C">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62B4E530" w14:textId="77777777" w:rsidR="007A5E3C" w:rsidRDefault="007A5E3C">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p>
    <w:p w14:paraId="50C94B69" w14:textId="77777777" w:rsidR="007A5E3C" w:rsidRDefault="007A5E3C">
      <w:pPr>
        <w:spacing w:before="200" w:after="200"/>
        <w:rPr>
          <w:sz w:val="24"/>
          <w:szCs w:val="24"/>
        </w:rPr>
      </w:pPr>
    </w:p>
    <w:tbl>
      <w:tblPr>
        <w:tblStyle w:val="a9"/>
        <w:tblW w:w="9029" w:type="dxa"/>
        <w:tblInd w:w="0" w:type="dxa"/>
        <w:tblLayout w:type="fixed"/>
        <w:tblLook w:val="0600" w:firstRow="0" w:lastRow="0" w:firstColumn="0" w:lastColumn="0" w:noHBand="1" w:noVBand="1"/>
      </w:tblPr>
      <w:tblGrid>
        <w:gridCol w:w="9029"/>
      </w:tblGrid>
      <w:tr w:rsidR="007A5E3C" w14:paraId="34DDD989" w14:textId="77777777">
        <w:tc>
          <w:tcPr>
            <w:tcW w:w="9029" w:type="dxa"/>
            <w:shd w:val="clear" w:color="auto" w:fill="6AA84F"/>
            <w:tcMar>
              <w:top w:w="-13" w:type="dxa"/>
              <w:left w:w="-13" w:type="dxa"/>
              <w:bottom w:w="-13" w:type="dxa"/>
              <w:right w:w="-13" w:type="dxa"/>
            </w:tcMar>
          </w:tcPr>
          <w:p w14:paraId="555EE757" w14:textId="77777777" w:rsidR="007A5E3C" w:rsidRDefault="00000000">
            <w:pPr>
              <w:pStyle w:val="Ttulo1"/>
              <w:spacing w:before="0" w:after="0"/>
              <w:jc w:val="center"/>
              <w:rPr>
                <w:b/>
                <w:color w:val="FFFFFF"/>
                <w:sz w:val="36"/>
                <w:szCs w:val="36"/>
              </w:rPr>
            </w:pPr>
            <w:bookmarkStart w:id="7" w:name="_khk6mzd90u80" w:colFirst="0" w:colLast="0"/>
            <w:bookmarkEnd w:id="7"/>
            <w:r>
              <w:rPr>
                <w:b/>
                <w:color w:val="FFFFFF"/>
                <w:sz w:val="36"/>
                <w:szCs w:val="36"/>
              </w:rPr>
              <w:t>Bibliografía</w:t>
            </w:r>
          </w:p>
        </w:tc>
      </w:tr>
    </w:tbl>
    <w:p w14:paraId="3DEF29F2" w14:textId="77777777" w:rsidR="007A5E3C" w:rsidRDefault="007A5E3C">
      <w:pPr>
        <w:spacing w:line="360" w:lineRule="auto"/>
        <w:rPr>
          <w:sz w:val="24"/>
          <w:szCs w:val="24"/>
        </w:rPr>
      </w:pPr>
    </w:p>
    <w:p w14:paraId="1B290634" w14:textId="77777777" w:rsidR="007A5E3C" w:rsidRDefault="00000000">
      <w:pPr>
        <w:numPr>
          <w:ilvl w:val="0"/>
          <w:numId w:val="3"/>
        </w:numPr>
        <w:spacing w:line="360" w:lineRule="auto"/>
        <w:rPr>
          <w:sz w:val="24"/>
          <w:szCs w:val="24"/>
        </w:rPr>
      </w:pPr>
      <w:r>
        <w:rPr>
          <w:sz w:val="24"/>
          <w:szCs w:val="24"/>
        </w:rPr>
        <w:t xml:space="preserve">Gary, D.C. (2009). </w:t>
      </w:r>
      <w:r>
        <w:rPr>
          <w:i/>
          <w:sz w:val="24"/>
          <w:szCs w:val="24"/>
        </w:rPr>
        <w:t>Química Analítica</w:t>
      </w:r>
      <w:r>
        <w:rPr>
          <w:sz w:val="24"/>
          <w:szCs w:val="24"/>
        </w:rPr>
        <w:t>, 6ta Ed., México: McGraw-Hill.</w:t>
      </w:r>
    </w:p>
    <w:p w14:paraId="0FDFB1D7" w14:textId="77777777" w:rsidR="007A5E3C" w:rsidRDefault="00000000">
      <w:pPr>
        <w:numPr>
          <w:ilvl w:val="0"/>
          <w:numId w:val="3"/>
        </w:numPr>
        <w:spacing w:line="360" w:lineRule="auto"/>
        <w:rPr>
          <w:sz w:val="24"/>
          <w:szCs w:val="24"/>
        </w:rPr>
      </w:pPr>
      <w:proofErr w:type="spellStart"/>
      <w:r>
        <w:rPr>
          <w:sz w:val="24"/>
          <w:szCs w:val="24"/>
        </w:rPr>
        <w:t>Skoo</w:t>
      </w:r>
      <w:proofErr w:type="spellEnd"/>
      <w:r>
        <w:rPr>
          <w:sz w:val="24"/>
          <w:szCs w:val="24"/>
        </w:rPr>
        <w:t xml:space="preserve">, A. D., West, D. M., </w:t>
      </w:r>
      <w:proofErr w:type="spellStart"/>
      <w:r>
        <w:rPr>
          <w:sz w:val="24"/>
          <w:szCs w:val="24"/>
        </w:rPr>
        <w:t>Holler</w:t>
      </w:r>
      <w:proofErr w:type="spellEnd"/>
      <w:r>
        <w:rPr>
          <w:sz w:val="24"/>
          <w:szCs w:val="24"/>
        </w:rPr>
        <w:t xml:space="preserve"> F. J., </w:t>
      </w:r>
      <w:proofErr w:type="spellStart"/>
      <w:r>
        <w:rPr>
          <w:sz w:val="24"/>
          <w:szCs w:val="24"/>
        </w:rPr>
        <w:t>Crouch</w:t>
      </w:r>
      <w:proofErr w:type="spellEnd"/>
      <w:r>
        <w:rPr>
          <w:sz w:val="24"/>
          <w:szCs w:val="24"/>
        </w:rPr>
        <w:t xml:space="preserve">, S. R. (2005). </w:t>
      </w:r>
      <w:r>
        <w:rPr>
          <w:i/>
          <w:sz w:val="24"/>
          <w:szCs w:val="24"/>
        </w:rPr>
        <w:t>Química Analítica</w:t>
      </w:r>
      <w:r>
        <w:rPr>
          <w:sz w:val="24"/>
          <w:szCs w:val="24"/>
        </w:rPr>
        <w:t>, 7ma Ed., México: McGraw-Hill.</w:t>
      </w:r>
    </w:p>
    <w:p w14:paraId="13B63A62" w14:textId="77777777" w:rsidR="007A5E3C" w:rsidRDefault="007A5E3C">
      <w:pPr>
        <w:rPr>
          <w:sz w:val="24"/>
          <w:szCs w:val="24"/>
        </w:rPr>
      </w:pPr>
    </w:p>
    <w:sectPr w:rsidR="007A5E3C">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026EA" w14:textId="77777777" w:rsidR="008A5333" w:rsidRDefault="008A5333">
      <w:pPr>
        <w:spacing w:line="240" w:lineRule="auto"/>
      </w:pPr>
      <w:r>
        <w:separator/>
      </w:r>
    </w:p>
  </w:endnote>
  <w:endnote w:type="continuationSeparator" w:id="0">
    <w:p w14:paraId="6DA515BF" w14:textId="77777777" w:rsidR="008A5333" w:rsidRDefault="008A53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99D5" w14:textId="77777777" w:rsidR="007A5E3C" w:rsidRDefault="007A5E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E2D5A" w14:textId="77777777" w:rsidR="008A5333" w:rsidRDefault="008A5333">
      <w:pPr>
        <w:spacing w:line="240" w:lineRule="auto"/>
      </w:pPr>
      <w:r>
        <w:separator/>
      </w:r>
    </w:p>
  </w:footnote>
  <w:footnote w:type="continuationSeparator" w:id="0">
    <w:p w14:paraId="6791C5FD" w14:textId="77777777" w:rsidR="008A5333" w:rsidRDefault="008A53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365A" w14:textId="77777777" w:rsidR="007A5E3C" w:rsidRDefault="00000000">
    <w:pPr>
      <w:ind w:right="-40"/>
      <w:jc w:val="both"/>
      <w:rPr>
        <w:i/>
        <w:sz w:val="18"/>
        <w:szCs w:val="18"/>
      </w:rPr>
    </w:pPr>
    <w:r>
      <w:rPr>
        <w:i/>
        <w:sz w:val="18"/>
        <w:szCs w:val="18"/>
      </w:rPr>
      <w:t xml:space="preserve">Esta actividad está diseñada para ser utilizada en el laboratorio de </w:t>
    </w:r>
    <w:hyperlink r:id="rId1">
      <w:r>
        <w:rPr>
          <w:i/>
          <w:color w:val="1155CC"/>
          <w:sz w:val="18"/>
          <w:szCs w:val="18"/>
          <w:u w:val="single"/>
        </w:rPr>
        <w:t>Valoración ácido-base II</w:t>
      </w:r>
    </w:hyperlink>
    <w:r>
      <w:rPr>
        <w:i/>
        <w:sz w:val="18"/>
        <w:szCs w:val="18"/>
      </w:rPr>
      <w:t xml:space="preserve">. Hay más actividades en </w:t>
    </w:r>
    <w:hyperlink r:id="rId2">
      <w:r>
        <w:rPr>
          <w:i/>
          <w:color w:val="1155CC"/>
          <w:sz w:val="18"/>
          <w:szCs w:val="18"/>
          <w:u w:val="single"/>
        </w:rPr>
        <w:t>https://labsland.com/es</w:t>
      </w:r>
    </w:hyperlink>
    <w:r>
      <w:rPr>
        <w:i/>
        <w:sz w:val="18"/>
        <w:szCs w:val="18"/>
      </w:rPr>
      <w:t xml:space="preserve">. Si eres profesor y quieres poder practicar con equipamiento real para tus clases de forma sencilla y online, ¡visítanos! </w:t>
    </w:r>
    <w:r>
      <w:rPr>
        <w:noProof/>
      </w:rPr>
      <w:drawing>
        <wp:anchor distT="0" distB="0" distL="114300" distR="114300" simplePos="0" relativeHeight="251658240" behindDoc="0" locked="0" layoutInCell="1" hidden="0" allowOverlap="1" wp14:anchorId="44DAF00A" wp14:editId="1E379A2F">
          <wp:simplePos x="0" y="0"/>
          <wp:positionH relativeFrom="column">
            <wp:posOffset>5000625</wp:posOffset>
          </wp:positionH>
          <wp:positionV relativeFrom="paragraph">
            <wp:posOffset>-28574</wp:posOffset>
          </wp:positionV>
          <wp:extent cx="797201" cy="476250"/>
          <wp:effectExtent l="0" t="0" r="0" b="0"/>
          <wp:wrapSquare wrapText="bothSides" distT="0" distB="0" distL="114300" distR="114300"/>
          <wp:docPr id="5" name="image6.png" descr="LabsLand - Página principal"/>
          <wp:cNvGraphicFramePr/>
          <a:graphic xmlns:a="http://schemas.openxmlformats.org/drawingml/2006/main">
            <a:graphicData uri="http://schemas.openxmlformats.org/drawingml/2006/picture">
              <pic:pic xmlns:pic="http://schemas.openxmlformats.org/drawingml/2006/picture">
                <pic:nvPicPr>
                  <pic:cNvPr id="0" name="image6.png" descr="LabsLand - Página principal"/>
                  <pic:cNvPicPr preferRelativeResize="0"/>
                </pic:nvPicPr>
                <pic:blipFill>
                  <a:blip r:embed="rId3"/>
                  <a:srcRect/>
                  <a:stretch>
                    <a:fillRect/>
                  </a:stretch>
                </pic:blipFill>
                <pic:spPr>
                  <a:xfrm>
                    <a:off x="0" y="0"/>
                    <a:ext cx="797201" cy="47625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5622BBCA" wp14:editId="0D8B0F80">
          <wp:simplePos x="0" y="0"/>
          <wp:positionH relativeFrom="column">
            <wp:posOffset>1</wp:posOffset>
          </wp:positionH>
          <wp:positionV relativeFrom="paragraph">
            <wp:posOffset>-47624</wp:posOffset>
          </wp:positionV>
          <wp:extent cx="396459" cy="511743"/>
          <wp:effectExtent l="0" t="0" r="0" b="0"/>
          <wp:wrapSquare wrapText="bothSides" distT="114300" distB="114300" distL="114300" distR="114300"/>
          <wp:docPr id="11" name="image5.png" descr="Bibliotecología UNED - Bibliotecología en Costa Rica"/>
          <wp:cNvGraphicFramePr/>
          <a:graphic xmlns:a="http://schemas.openxmlformats.org/drawingml/2006/main">
            <a:graphicData uri="http://schemas.openxmlformats.org/drawingml/2006/picture">
              <pic:pic xmlns:pic="http://schemas.openxmlformats.org/drawingml/2006/picture">
                <pic:nvPicPr>
                  <pic:cNvPr id="0" name="image5.png" descr="Bibliotecología UNED - Bibliotecología en Costa Rica"/>
                  <pic:cNvPicPr preferRelativeResize="0"/>
                </pic:nvPicPr>
                <pic:blipFill>
                  <a:blip r:embed="rId4"/>
                  <a:srcRect/>
                  <a:stretch>
                    <a:fillRect/>
                  </a:stretch>
                </pic:blipFill>
                <pic:spPr>
                  <a:xfrm>
                    <a:off x="0" y="0"/>
                    <a:ext cx="396459" cy="51174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60EF6"/>
    <w:multiLevelType w:val="multilevel"/>
    <w:tmpl w:val="472853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F1665EC"/>
    <w:multiLevelType w:val="multilevel"/>
    <w:tmpl w:val="BF26C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5641CA"/>
    <w:multiLevelType w:val="multilevel"/>
    <w:tmpl w:val="5A1EC3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F84C02"/>
    <w:multiLevelType w:val="multilevel"/>
    <w:tmpl w:val="382A1A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74979225">
    <w:abstractNumId w:val="2"/>
  </w:num>
  <w:num w:numId="2" w16cid:durableId="668139694">
    <w:abstractNumId w:val="3"/>
  </w:num>
  <w:num w:numId="3" w16cid:durableId="2027169189">
    <w:abstractNumId w:val="0"/>
  </w:num>
  <w:num w:numId="4" w16cid:durableId="622855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3C"/>
    <w:rsid w:val="006B5AAB"/>
    <w:rsid w:val="007A5E3C"/>
    <w:rsid w:val="008A53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31EC"/>
  <w15:docId w15:val="{94A8DBE6-FD3F-4F73-9FC7-5946DE4D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axasoftware.com/doc_edu/qui/indic.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labsland.com/es" TargetMode="External"/><Relationship Id="rId1" Type="http://schemas.openxmlformats.org/officeDocument/2006/relationships/hyperlink" Target="https://labsland.labsland.com/groups/dDBglnBVbb7K6fzjPhfV_WPb8WEFplL3MtMs_D3aE3E/abtitration/"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1453</Words>
  <Characters>7995</Characters>
  <Application>Microsoft Office Word</Application>
  <DocSecurity>0</DocSecurity>
  <Lines>66</Lines>
  <Paragraphs>18</Paragraphs>
  <ScaleCrop>false</ScaleCrop>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esteban sustatxa</dc:creator>
  <cp:lastModifiedBy>esteban sustatxa</cp:lastModifiedBy>
  <cp:revision>2</cp:revision>
  <dcterms:created xsi:type="dcterms:W3CDTF">2022-11-24T17:17:00Z</dcterms:created>
  <dcterms:modified xsi:type="dcterms:W3CDTF">2022-11-24T17:17:00Z</dcterms:modified>
</cp:coreProperties>
</file>