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857250</wp:posOffset>
            </wp:positionH>
            <wp:positionV relativeFrom="paragraph">
              <wp:posOffset>118821</wp:posOffset>
            </wp:positionV>
            <wp:extent cx="1443038" cy="1837831"/>
            <wp:effectExtent b="0" l="0" r="0" t="0"/>
            <wp:wrapSquare wrapText="bothSides" distB="114300" distT="114300" distL="114300" distR="114300"/>
            <wp:docPr id="7" name="image4.png"/>
            <a:graphic>
              <a:graphicData uri="http://schemas.openxmlformats.org/drawingml/2006/picture">
                <pic:pic>
                  <pic:nvPicPr>
                    <pic:cNvPr id="0" name="image4.png"/>
                    <pic:cNvPicPr preferRelativeResize="0"/>
                  </pic:nvPicPr>
                  <pic:blipFill>
                    <a:blip r:embed="rId6"/>
                    <a:srcRect b="8626" l="0" r="0" t="0"/>
                    <a:stretch>
                      <a:fillRect/>
                    </a:stretch>
                  </pic:blipFill>
                  <pic:spPr>
                    <a:xfrm>
                      <a:off x="0" y="0"/>
                      <a:ext cx="1443038" cy="1837831"/>
                    </a:xfrm>
                    <a:prstGeom prst="rect"/>
                    <a:ln/>
                  </pic:spPr>
                </pic:pic>
              </a:graphicData>
            </a:graphic>
          </wp:anchor>
        </w:drawing>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2743200</wp:posOffset>
            </wp:positionH>
            <wp:positionV relativeFrom="paragraph">
              <wp:posOffset>17543</wp:posOffset>
            </wp:positionV>
            <wp:extent cx="2252663" cy="1335187"/>
            <wp:effectExtent b="0" l="0" r="0" t="0"/>
            <wp:wrapSquare wrapText="bothSides" distB="0" distT="0" distL="0" distR="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52663" cy="1335187"/>
                    </a:xfrm>
                    <a:prstGeom prst="rect"/>
                    <a:ln/>
                  </pic:spPr>
                </pic:pic>
              </a:graphicData>
            </a:graphic>
          </wp:anchor>
        </w:drawing>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jc w:val="center"/>
        <w:rPr>
          <w:b w:val="1"/>
          <w:color w:val="4a86e8"/>
          <w:sz w:val="56"/>
          <w:szCs w:val="56"/>
        </w:rPr>
      </w:pPr>
      <w:r w:rsidDel="00000000" w:rsidR="00000000" w:rsidRPr="00000000">
        <w:rPr>
          <w:b w:val="1"/>
          <w:color w:val="4a86e8"/>
          <w:sz w:val="56"/>
          <w:szCs w:val="56"/>
          <w:rtl w:val="0"/>
        </w:rPr>
        <w:t xml:space="preserve">Acid-base Titration II</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tbl>
      <w:tblPr>
        <w:tblStyle w:val="Table1"/>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2C">
            <w:pPr>
              <w:jc w:val="center"/>
              <w:rPr>
                <w:b w:val="1"/>
                <w:color w:val="ffffff"/>
                <w:sz w:val="36"/>
                <w:szCs w:val="36"/>
              </w:rPr>
            </w:pPr>
            <w:r w:rsidDel="00000000" w:rsidR="00000000" w:rsidRPr="00000000">
              <w:rPr>
                <w:b w:val="1"/>
                <w:color w:val="ffffff"/>
                <w:sz w:val="36"/>
                <w:szCs w:val="36"/>
                <w:rtl w:val="0"/>
              </w:rPr>
              <w:t xml:space="preserve">Index</w:t>
            </w:r>
          </w:p>
        </w:tc>
      </w:tr>
    </w:tbl>
    <w:p w:rsidR="00000000" w:rsidDel="00000000" w:rsidP="00000000" w:rsidRDefault="00000000" w:rsidRPr="00000000" w14:paraId="0000002D">
      <w:pPr>
        <w:rPr>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E">
          <w:pPr>
            <w:tabs>
              <w:tab w:val="right" w:pos="9025.511811023624"/>
            </w:tabs>
            <w:spacing w:before="80" w:line="240" w:lineRule="auto"/>
            <w:ind w:lef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m28wlxrfwxs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Aim of the document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_m28wlxrfwxst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r1yor8i5f0s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 objectives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_r1yor8i5f0s2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oyd5msjn46h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Educational cycle and estimated time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_oyd5msjn46hh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4w8kls847ne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Theory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_4w8kls847neg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t5cm4a8p0m0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of the experiment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_t5cm4a8p0m01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3kmddodp8bh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_3kmddodp8bhl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y8brvyfkf5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_y8brvyfkf518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025.511811023624"/>
            </w:tabs>
            <w:spacing w:after="80"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khk6mzd90u8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Bibliography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_khk6mzd90u80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rPr>
          <w:sz w:val="26"/>
          <w:szCs w:val="26"/>
        </w:rPr>
        <w:sectPr>
          <w:headerReference r:id="rId8" w:type="default"/>
          <w:footerReference r:id="rId9"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bl>
      <w:tblPr>
        <w:tblStyle w:val="Table2"/>
        <w:tblW w:w="9029.0" w:type="dxa"/>
        <w:jc w:val="left"/>
        <w:tblLayout w:type="fixed"/>
        <w:tblLook w:val="0600"/>
      </w:tblPr>
      <w:tblGrid>
        <w:gridCol w:w="9029"/>
        <w:tblGridChange w:id="0">
          <w:tblGrid>
            <w:gridCol w:w="9029"/>
          </w:tblGrid>
        </w:tblGridChange>
      </w:tblGrid>
      <w:tr>
        <w:trPr>
          <w:cantSplit w:val="0"/>
          <w:trHeight w:val="461.0595703125" w:hRule="atLeast"/>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8">
            <w:pPr>
              <w:pStyle w:val="Heading1"/>
              <w:spacing w:after="0" w:before="0" w:lineRule="auto"/>
              <w:jc w:val="center"/>
              <w:rPr>
                <w:b w:val="1"/>
                <w:color w:val="ffffff"/>
                <w:sz w:val="36"/>
                <w:szCs w:val="36"/>
              </w:rPr>
            </w:pPr>
            <w:bookmarkStart w:colFirst="0" w:colLast="0" w:name="_m28wlxrfwxst" w:id="0"/>
            <w:bookmarkEnd w:id="0"/>
            <w:r w:rsidDel="00000000" w:rsidR="00000000" w:rsidRPr="00000000">
              <w:rPr>
                <w:b w:val="1"/>
                <w:color w:val="ffffff"/>
                <w:sz w:val="36"/>
                <w:szCs w:val="36"/>
                <w:rtl w:val="0"/>
              </w:rPr>
              <w:t xml:space="preserve">Aim of the document</w:t>
            </w:r>
          </w:p>
        </w:tc>
      </w:tr>
    </w:tbl>
    <w:p w:rsidR="00000000" w:rsidDel="00000000" w:rsidP="00000000" w:rsidRDefault="00000000" w:rsidRPr="00000000" w14:paraId="00000039">
      <w:pPr>
        <w:spacing w:after="200" w:before="240" w:line="276" w:lineRule="auto"/>
        <w:jc w:val="both"/>
        <w:rPr>
          <w:sz w:val="24"/>
          <w:szCs w:val="24"/>
        </w:rPr>
      </w:pPr>
      <w:r w:rsidDel="00000000" w:rsidR="00000000" w:rsidRPr="00000000">
        <w:rPr>
          <w:sz w:val="24"/>
          <w:szCs w:val="24"/>
          <w:rtl w:val="0"/>
        </w:rPr>
        <w:t xml:space="preserve">The objective of this document is to provide a guide to develop the experiment Acid-base titration using two analytical techniques. </w:t>
      </w:r>
    </w:p>
    <w:p w:rsidR="00000000" w:rsidDel="00000000" w:rsidP="00000000" w:rsidRDefault="00000000" w:rsidRPr="00000000" w14:paraId="0000003A">
      <w:pPr>
        <w:widowControl w:val="0"/>
        <w:spacing w:after="200" w:before="200" w:lineRule="auto"/>
        <w:jc w:val="both"/>
        <w:rPr>
          <w:sz w:val="24"/>
          <w:szCs w:val="24"/>
        </w:rPr>
      </w:pPr>
      <w:r w:rsidDel="00000000" w:rsidR="00000000" w:rsidRPr="00000000">
        <w:rPr>
          <w:rtl w:val="0"/>
        </w:rPr>
      </w:r>
    </w:p>
    <w:tbl>
      <w:tblPr>
        <w:tblStyle w:val="Table3"/>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B">
            <w:pPr>
              <w:pStyle w:val="Heading1"/>
              <w:spacing w:after="0" w:before="0" w:lineRule="auto"/>
              <w:jc w:val="center"/>
              <w:rPr>
                <w:b w:val="1"/>
                <w:color w:val="ffffff"/>
                <w:sz w:val="36"/>
                <w:szCs w:val="36"/>
              </w:rPr>
            </w:pPr>
            <w:bookmarkStart w:colFirst="0" w:colLast="0" w:name="_r1yor8i5f0s2" w:id="1"/>
            <w:bookmarkEnd w:id="1"/>
            <w:r w:rsidDel="00000000" w:rsidR="00000000" w:rsidRPr="00000000">
              <w:rPr>
                <w:b w:val="1"/>
                <w:color w:val="ffffff"/>
                <w:sz w:val="36"/>
                <w:szCs w:val="36"/>
                <w:rtl w:val="0"/>
              </w:rPr>
              <w:t xml:space="preserve">Learning objectives</w:t>
            </w:r>
          </w:p>
        </w:tc>
      </w:tr>
    </w:tbl>
    <w:p w:rsidR="00000000" w:rsidDel="00000000" w:rsidP="00000000" w:rsidRDefault="00000000" w:rsidRPr="00000000" w14:paraId="0000003C">
      <w:pPr>
        <w:spacing w:after="200" w:before="240" w:line="276" w:lineRule="auto"/>
        <w:jc w:val="both"/>
        <w:rPr>
          <w:sz w:val="24"/>
          <w:szCs w:val="24"/>
        </w:rPr>
      </w:pPr>
      <w:r w:rsidDel="00000000" w:rsidR="00000000" w:rsidRPr="00000000">
        <w:rPr>
          <w:sz w:val="24"/>
          <w:szCs w:val="24"/>
          <w:rtl w:val="0"/>
        </w:rPr>
        <w:t xml:space="preserve">Study the acid-base behavior of the unknown sample. Relate the volume of spent titrant to the concentration of the analyte while observing the color change and the influence of pH in the solution. Teamwork.</w:t>
      </w:r>
    </w:p>
    <w:p w:rsidR="00000000" w:rsidDel="00000000" w:rsidP="00000000" w:rsidRDefault="00000000" w:rsidRPr="00000000" w14:paraId="0000003D">
      <w:pPr>
        <w:widowControl w:val="0"/>
        <w:spacing w:after="200" w:before="200" w:lineRule="auto"/>
        <w:jc w:val="both"/>
        <w:rPr>
          <w:sz w:val="24"/>
          <w:szCs w:val="24"/>
        </w:rPr>
      </w:pPr>
      <w:r w:rsidDel="00000000" w:rsidR="00000000" w:rsidRPr="00000000">
        <w:rPr>
          <w:rtl w:val="0"/>
        </w:rPr>
      </w:r>
    </w:p>
    <w:tbl>
      <w:tblPr>
        <w:tblStyle w:val="Table4"/>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3E">
            <w:pPr>
              <w:pStyle w:val="Heading1"/>
              <w:spacing w:after="0" w:before="0" w:lineRule="auto"/>
              <w:jc w:val="center"/>
              <w:rPr>
                <w:b w:val="1"/>
                <w:color w:val="ffffff"/>
                <w:sz w:val="36"/>
                <w:szCs w:val="36"/>
              </w:rPr>
            </w:pPr>
            <w:bookmarkStart w:colFirst="0" w:colLast="0" w:name="_oyd5msjn46hh" w:id="2"/>
            <w:bookmarkEnd w:id="2"/>
            <w:r w:rsidDel="00000000" w:rsidR="00000000" w:rsidRPr="00000000">
              <w:rPr>
                <w:b w:val="1"/>
                <w:color w:val="ffffff"/>
                <w:sz w:val="36"/>
                <w:szCs w:val="36"/>
                <w:rtl w:val="0"/>
              </w:rPr>
              <w:t xml:space="preserve">Educational cycle and estimated time</w:t>
            </w:r>
          </w:p>
        </w:tc>
      </w:tr>
    </w:tbl>
    <w:p w:rsidR="00000000" w:rsidDel="00000000" w:rsidP="00000000" w:rsidRDefault="00000000" w:rsidRPr="00000000" w14:paraId="0000003F">
      <w:pPr>
        <w:spacing w:after="200" w:before="200" w:lineRule="auto"/>
        <w:jc w:val="both"/>
        <w:rPr>
          <w:sz w:val="24"/>
          <w:szCs w:val="24"/>
        </w:rPr>
      </w:pPr>
      <w:r w:rsidDel="00000000" w:rsidR="00000000" w:rsidRPr="00000000">
        <w:rPr>
          <w:sz w:val="24"/>
          <w:szCs w:val="24"/>
          <w:rtl w:val="0"/>
        </w:rPr>
        <w:t xml:space="preserve">This activity can be completed by any student who has taken an introductory course in analytical chemistry and acid-base titrations (high school and middle school students). It can be easily completed in a single session of about 90 minutes if the student has read and understood the document before starting the session. Even if the student is unable to finish everything in class, as long as the Results section has been completed, the last session of Questions can be done as homework, as it does not require any new lab measurements. The Results section should be done in pairs (optional to work in trios).</w:t>
      </w:r>
    </w:p>
    <w:p w:rsidR="00000000" w:rsidDel="00000000" w:rsidP="00000000" w:rsidRDefault="00000000" w:rsidRPr="00000000" w14:paraId="00000040">
      <w:pPr>
        <w:spacing w:after="200" w:before="200" w:lineRule="auto"/>
        <w:rPr>
          <w:sz w:val="24"/>
          <w:szCs w:val="24"/>
        </w:rPr>
      </w:pPr>
      <w:r w:rsidDel="00000000" w:rsidR="00000000" w:rsidRPr="00000000">
        <w:rPr>
          <w:rtl w:val="0"/>
        </w:rPr>
      </w:r>
    </w:p>
    <w:tbl>
      <w:tblPr>
        <w:tblStyle w:val="Table5"/>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41">
            <w:pPr>
              <w:pStyle w:val="Heading1"/>
              <w:spacing w:after="0" w:before="0" w:lineRule="auto"/>
              <w:jc w:val="center"/>
              <w:rPr>
                <w:b w:val="1"/>
                <w:color w:val="ffffff"/>
                <w:sz w:val="36"/>
                <w:szCs w:val="36"/>
              </w:rPr>
            </w:pPr>
            <w:bookmarkStart w:colFirst="0" w:colLast="0" w:name="_4w8kls847neg" w:id="3"/>
            <w:bookmarkEnd w:id="3"/>
            <w:r w:rsidDel="00000000" w:rsidR="00000000" w:rsidRPr="00000000">
              <w:rPr>
                <w:b w:val="1"/>
                <w:color w:val="ffffff"/>
                <w:sz w:val="36"/>
                <w:szCs w:val="36"/>
                <w:rtl w:val="0"/>
              </w:rPr>
              <w:t xml:space="preserve">Theory</w:t>
            </w:r>
          </w:p>
        </w:tc>
      </w:tr>
    </w:tbl>
    <w:p w:rsidR="00000000" w:rsidDel="00000000" w:rsidP="00000000" w:rsidRDefault="00000000" w:rsidRPr="00000000" w14:paraId="00000042">
      <w:pPr>
        <w:spacing w:after="200" w:before="200" w:lineRule="auto"/>
        <w:jc w:val="both"/>
        <w:rPr>
          <w:sz w:val="24"/>
          <w:szCs w:val="24"/>
          <w:vertAlign w:val="superscript"/>
        </w:rPr>
      </w:pPr>
      <w:r w:rsidDel="00000000" w:rsidR="00000000" w:rsidRPr="00000000">
        <w:rPr>
          <w:b w:val="1"/>
          <w:sz w:val="24"/>
          <w:szCs w:val="24"/>
          <w:rtl w:val="0"/>
        </w:rPr>
        <w:t xml:space="preserve">Acid-base titration</w:t>
      </w:r>
      <w:r w:rsidDel="00000000" w:rsidR="00000000" w:rsidRPr="00000000">
        <w:rPr>
          <w:sz w:val="24"/>
          <w:szCs w:val="24"/>
          <w:rtl w:val="0"/>
        </w:rPr>
        <w:t xml:space="preserve">, also known as the volumetric technique, is used to determine the exact concentration of an unknown sample.</w:t>
      </w:r>
      <w:r w:rsidDel="00000000" w:rsidR="00000000" w:rsidRPr="00000000">
        <w:rPr>
          <w:sz w:val="24"/>
          <w:szCs w:val="24"/>
          <w:vertAlign w:val="superscript"/>
          <w:rtl w:val="0"/>
        </w:rPr>
        <w:t xml:space="preserve">1</w:t>
      </w:r>
    </w:p>
    <w:p w:rsidR="00000000" w:rsidDel="00000000" w:rsidP="00000000" w:rsidRDefault="00000000" w:rsidRPr="00000000" w14:paraId="00000043">
      <w:pPr>
        <w:widowControl w:val="0"/>
        <w:spacing w:after="200" w:before="200" w:lineRule="auto"/>
        <w:jc w:val="both"/>
        <w:rPr>
          <w:sz w:val="24"/>
          <w:szCs w:val="24"/>
          <w:vertAlign w:val="superscript"/>
        </w:rPr>
      </w:pPr>
      <w:r w:rsidDel="00000000" w:rsidR="00000000" w:rsidRPr="00000000">
        <w:rPr>
          <w:sz w:val="24"/>
          <w:szCs w:val="24"/>
          <w:rtl w:val="0"/>
        </w:rPr>
        <w:t xml:space="preserve">The basic concepts to be mastered in this analysis are the following: </w:t>
      </w:r>
      <w:r w:rsidDel="00000000" w:rsidR="00000000" w:rsidRPr="00000000">
        <w:rPr>
          <w:sz w:val="24"/>
          <w:szCs w:val="24"/>
          <w:vertAlign w:val="superscript"/>
          <w:rtl w:val="0"/>
        </w:rPr>
        <w:t xml:space="preserve">1,2</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4"/>
        </w:numPr>
        <w:spacing w:after="0" w:afterAutospacing="0" w:before="20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Titrant:</w:t>
      </w:r>
      <w:r w:rsidDel="00000000" w:rsidR="00000000" w:rsidRPr="00000000">
        <w:rPr>
          <w:sz w:val="24"/>
          <w:szCs w:val="24"/>
          <w:rtl w:val="0"/>
        </w:rPr>
        <w:t xml:space="preserve"> A solution of perfectly known concentration and volume.</w:t>
      </w:r>
    </w:p>
    <w:p w:rsidR="00000000" w:rsidDel="00000000" w:rsidP="00000000" w:rsidRDefault="00000000" w:rsidRPr="00000000" w14:paraId="00000045">
      <w:pPr>
        <w:widowControl w:val="0"/>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Analyte or unknown sample:</w:t>
      </w:r>
      <w:r w:rsidDel="00000000" w:rsidR="00000000" w:rsidRPr="00000000">
        <w:rPr>
          <w:sz w:val="24"/>
          <w:szCs w:val="24"/>
          <w:rtl w:val="0"/>
        </w:rPr>
        <w:t xml:space="preserve"> A solution of unknown concentration, but of known volume, since it is the volume that you add before starting the titration.</w:t>
      </w:r>
    </w:p>
    <w:p w:rsidR="00000000" w:rsidDel="00000000" w:rsidP="00000000" w:rsidRDefault="00000000" w:rsidRPr="00000000" w14:paraId="00000046">
      <w:pPr>
        <w:widowControl w:val="0"/>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Equivalence point:</w:t>
      </w:r>
      <w:r w:rsidDel="00000000" w:rsidR="00000000" w:rsidRPr="00000000">
        <w:rPr>
          <w:sz w:val="24"/>
          <w:szCs w:val="24"/>
          <w:rtl w:val="0"/>
        </w:rPr>
        <w:t xml:space="preserve"> Occurs when the titrant and the analyte are equivalent and the formula (Equation 1) is fulfilled.</w:t>
      </w:r>
      <w:r w:rsidDel="00000000" w:rsidR="00000000" w:rsidRPr="00000000">
        <w:rPr>
          <w:rtl w:val="0"/>
        </w:rPr>
      </w:r>
    </w:p>
    <w:p w:rsidR="00000000" w:rsidDel="00000000" w:rsidP="00000000" w:rsidRDefault="00000000" w:rsidRPr="00000000" w14:paraId="00000047">
      <w:pPr>
        <w:widowControl w:val="0"/>
        <w:numPr>
          <w:ilvl w:val="0"/>
          <w:numId w:val="4"/>
        </w:numPr>
        <w:spacing w:after="0" w:afterAutospacing="0" w:before="0" w:beforeAutospacing="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pH</w:t>
      </w:r>
      <w:r w:rsidDel="00000000" w:rsidR="00000000" w:rsidRPr="00000000">
        <w:rPr>
          <w:sz w:val="24"/>
          <w:szCs w:val="24"/>
          <w:rtl w:val="0"/>
        </w:rPr>
        <w:t xml:space="preserve">: Degree of acidity of a solution.  </w:t>
      </w:r>
    </w:p>
    <w:p w:rsidR="00000000" w:rsidDel="00000000" w:rsidP="00000000" w:rsidRDefault="00000000" w:rsidRPr="00000000" w14:paraId="00000048">
      <w:pPr>
        <w:widowControl w:val="0"/>
        <w:numPr>
          <w:ilvl w:val="0"/>
          <w:numId w:val="4"/>
        </w:numPr>
        <w:spacing w:after="200" w:before="0" w:beforeAutospacing="0" w:lineRule="auto"/>
        <w:ind w:left="720" w:hanging="360"/>
        <w:jc w:val="both"/>
        <w:rPr>
          <w:rFonts w:ascii="Calibri" w:cs="Calibri" w:eastAsia="Calibri" w:hAnsi="Calibri"/>
          <w:sz w:val="24"/>
          <w:szCs w:val="24"/>
        </w:rPr>
      </w:pPr>
      <w:r w:rsidDel="00000000" w:rsidR="00000000" w:rsidRPr="00000000">
        <w:rPr>
          <w:sz w:val="24"/>
          <w:szCs w:val="24"/>
          <w:u w:val="single"/>
          <w:rtl w:val="0"/>
        </w:rPr>
        <w:t xml:space="preserve">Indicator:</w:t>
      </w:r>
      <w:r w:rsidDel="00000000" w:rsidR="00000000" w:rsidRPr="00000000">
        <w:rPr>
          <w:sz w:val="24"/>
          <w:szCs w:val="24"/>
          <w:rtl w:val="0"/>
        </w:rPr>
        <w:t xml:space="preserve"> Substance that is added to the unknown sample and that produces a physical change (color change) when analyzed.</w:t>
      </w:r>
      <w:r w:rsidDel="00000000" w:rsidR="00000000" w:rsidRPr="00000000">
        <w:rPr>
          <w:rtl w:val="0"/>
        </w:rPr>
      </w:r>
    </w:p>
    <w:p w:rsidR="00000000" w:rsidDel="00000000" w:rsidP="00000000" w:rsidRDefault="00000000" w:rsidRPr="00000000" w14:paraId="00000049">
      <w:pPr>
        <w:widowControl w:val="0"/>
        <w:spacing w:after="200" w:before="200" w:lineRule="auto"/>
        <w:jc w:val="both"/>
        <w:rPr>
          <w:sz w:val="24"/>
          <w:szCs w:val="24"/>
        </w:rPr>
      </w:pPr>
      <w:r w:rsidDel="00000000" w:rsidR="00000000" w:rsidRPr="00000000">
        <w:rPr>
          <w:sz w:val="24"/>
          <w:szCs w:val="24"/>
          <w:rtl w:val="0"/>
        </w:rPr>
        <w:t xml:space="preserve">Once the volume of the titrant and the analyte and the concentration of the titrant acting as a base are known, we can find the concentration of the acid with the following formula:</w:t>
      </w:r>
      <w:r w:rsidDel="00000000" w:rsidR="00000000" w:rsidRPr="00000000">
        <w:rPr>
          <w:rtl w:val="0"/>
        </w:rPr>
      </w:r>
    </w:p>
    <w:p w:rsidR="00000000" w:rsidDel="00000000" w:rsidP="00000000" w:rsidRDefault="00000000" w:rsidRPr="00000000" w14:paraId="0000004A">
      <w:pPr>
        <w:spacing w:after="200" w:before="200" w:lineRule="auto"/>
        <w:jc w:val="center"/>
        <w:rPr>
          <w:sz w:val="24"/>
          <w:szCs w:val="24"/>
        </w:rPr>
      </w:pPr>
      <w:r w:rsidDel="00000000" w:rsidR="00000000" w:rsidRPr="00000000">
        <w:rPr>
          <w:sz w:val="20"/>
          <w:szCs w:val="20"/>
          <w:rtl w:val="0"/>
        </w:rPr>
        <w:t xml:space="preserve">Equation 1.- Theoretical equation used to determine the acetic acid concentration.</w:t>
      </w:r>
      <w:r w:rsidDel="00000000" w:rsidR="00000000" w:rsidRPr="00000000">
        <w:rPr>
          <w:rtl w:val="0"/>
        </w:rPr>
      </w:r>
    </w:p>
    <w:p w:rsidR="00000000" w:rsidDel="00000000" w:rsidP="00000000" w:rsidRDefault="00000000" w:rsidRPr="00000000" w14:paraId="0000004B">
      <w:pPr>
        <w:widowControl w:val="0"/>
        <w:spacing w:after="200" w:before="200" w:lineRule="auto"/>
        <w:jc w:val="center"/>
        <w:rPr>
          <w:b w:val="1"/>
          <w:sz w:val="24"/>
          <w:szCs w:val="24"/>
        </w:rPr>
      </w:pPr>
      <m:oMath>
        <m:sSub>
          <m:sSubPr>
            <m:ctrlPr>
              <w:rPr>
                <w:sz w:val="24"/>
                <w:szCs w:val="24"/>
              </w:rPr>
            </m:ctrlPr>
          </m:sSubPr>
          <m:e>
            <m:r>
              <w:rPr>
                <w:sz w:val="24"/>
                <w:szCs w:val="24"/>
              </w:rPr>
              <m:t xml:space="preserve">[Analyte]</m:t>
            </m:r>
          </m:e>
          <m:sub/>
        </m:sSub>
        <m:r>
          <w:rPr>
            <w:sz w:val="24"/>
            <w:szCs w:val="24"/>
          </w:rPr>
          <m:t xml:space="preserve">· </m:t>
        </m:r>
        <m:sSub>
          <m:sSubPr>
            <m:ctrlPr>
              <w:rPr>
                <w:sz w:val="24"/>
                <w:szCs w:val="24"/>
              </w:rPr>
            </m:ctrlPr>
          </m:sSubPr>
          <m:e>
            <m:r>
              <w:rPr>
                <w:sz w:val="24"/>
                <w:szCs w:val="24"/>
              </w:rPr>
              <m:t xml:space="preserve">V</m:t>
            </m:r>
          </m:e>
          <m:sub>
            <m:r>
              <w:rPr>
                <w:sz w:val="24"/>
                <w:szCs w:val="24"/>
              </w:rPr>
              <m:t xml:space="preserve">analyte</m:t>
            </m:r>
          </m:sub>
        </m:sSub>
        <m:r>
          <w:rPr>
            <w:sz w:val="24"/>
            <w:szCs w:val="24"/>
          </w:rPr>
          <m:t xml:space="preserve">= </m:t>
        </m:r>
        <m:sSub>
          <m:sSubPr>
            <m:ctrlPr>
              <w:rPr>
                <w:sz w:val="24"/>
                <w:szCs w:val="24"/>
              </w:rPr>
            </m:ctrlPr>
          </m:sSubPr>
          <m:e>
            <m:r>
              <w:rPr>
                <w:sz w:val="24"/>
                <w:szCs w:val="24"/>
              </w:rPr>
              <m:t xml:space="preserve">[Titrant]</m:t>
            </m:r>
          </m:e>
          <m:sub/>
        </m:sSub>
        <m:r>
          <w:rPr>
            <w:sz w:val="24"/>
            <w:szCs w:val="24"/>
          </w:rPr>
          <m:t xml:space="preserve">· </m:t>
        </m:r>
        <m:sSub>
          <m:sSubPr>
            <m:ctrlPr>
              <w:rPr>
                <w:sz w:val="24"/>
                <w:szCs w:val="24"/>
              </w:rPr>
            </m:ctrlPr>
          </m:sSubPr>
          <m:e>
            <m:r>
              <w:rPr>
                <w:sz w:val="24"/>
                <w:szCs w:val="24"/>
              </w:rPr>
              <m:t xml:space="preserve">V</m:t>
            </m:r>
          </m:e>
          <m:sub>
            <m:r>
              <w:rPr>
                <w:sz w:val="24"/>
                <w:szCs w:val="24"/>
              </w:rPr>
              <m:t xml:space="preserve">Titrant</m:t>
            </m:r>
          </m:sub>
        </m:sSub>
      </m:oMath>
      <w:r w:rsidDel="00000000" w:rsidR="00000000" w:rsidRPr="00000000">
        <w:rPr>
          <w:sz w:val="24"/>
          <w:szCs w:val="24"/>
          <w:rtl w:val="0"/>
        </w:rPr>
        <w:tab/>
      </w:r>
      <w:r w:rsidDel="00000000" w:rsidR="00000000" w:rsidRPr="00000000">
        <w:rPr>
          <w:b w:val="1"/>
          <w:sz w:val="24"/>
          <w:szCs w:val="24"/>
          <w:rtl w:val="0"/>
        </w:rPr>
        <w:t xml:space="preserve">Ec. 1</w:t>
      </w:r>
    </w:p>
    <w:p w:rsidR="00000000" w:rsidDel="00000000" w:rsidP="00000000" w:rsidRDefault="00000000" w:rsidRPr="00000000" w14:paraId="0000004C">
      <w:pPr>
        <w:widowControl w:val="0"/>
        <w:spacing w:line="240" w:lineRule="auto"/>
        <w:jc w:val="center"/>
        <w:rPr>
          <w:sz w:val="18"/>
          <w:szCs w:val="18"/>
        </w:rPr>
      </w:pPr>
      <w:r w:rsidDel="00000000" w:rsidR="00000000" w:rsidRPr="00000000">
        <w:rPr>
          <w:b w:val="1"/>
          <w:sz w:val="18"/>
          <w:szCs w:val="18"/>
          <w:rtl w:val="0"/>
        </w:rPr>
        <w:t xml:space="preserve">[Analyte]:</w:t>
      </w:r>
      <w:r w:rsidDel="00000000" w:rsidR="00000000" w:rsidRPr="00000000">
        <w:rPr>
          <w:sz w:val="18"/>
          <w:szCs w:val="18"/>
          <w:rtl w:val="0"/>
        </w:rPr>
        <w:t xml:space="preserve"> Unknown sample concentration.</w:t>
      </w:r>
    </w:p>
    <w:p w:rsidR="00000000" w:rsidDel="00000000" w:rsidP="00000000" w:rsidRDefault="00000000" w:rsidRPr="00000000" w14:paraId="0000004D">
      <w:pPr>
        <w:widowControl w:val="0"/>
        <w:spacing w:line="240" w:lineRule="auto"/>
        <w:jc w:val="center"/>
        <w:rPr>
          <w:sz w:val="18"/>
          <w:szCs w:val="18"/>
        </w:rPr>
      </w:pPr>
      <w:r w:rsidDel="00000000" w:rsidR="00000000" w:rsidRPr="00000000">
        <w:rPr>
          <w:b w:val="1"/>
          <w:sz w:val="18"/>
          <w:szCs w:val="18"/>
          <w:rtl w:val="0"/>
        </w:rPr>
        <w:t xml:space="preserve">V </w:t>
      </w:r>
      <w:r w:rsidDel="00000000" w:rsidR="00000000" w:rsidRPr="00000000">
        <w:rPr>
          <w:b w:val="1"/>
          <w:sz w:val="18"/>
          <w:szCs w:val="18"/>
          <w:vertAlign w:val="subscript"/>
          <w:rtl w:val="0"/>
        </w:rPr>
        <w:t xml:space="preserve">analyte</w:t>
      </w:r>
      <w:r w:rsidDel="00000000" w:rsidR="00000000" w:rsidRPr="00000000">
        <w:rPr>
          <w:b w:val="1"/>
          <w:sz w:val="18"/>
          <w:szCs w:val="18"/>
          <w:rtl w:val="0"/>
        </w:rPr>
        <w:t xml:space="preserve">:</w:t>
      </w:r>
      <w:r w:rsidDel="00000000" w:rsidR="00000000" w:rsidRPr="00000000">
        <w:rPr>
          <w:sz w:val="18"/>
          <w:szCs w:val="18"/>
          <w:rtl w:val="0"/>
        </w:rPr>
        <w:t xml:space="preserve"> Volume of analyte added.</w:t>
      </w:r>
    </w:p>
    <w:p w:rsidR="00000000" w:rsidDel="00000000" w:rsidP="00000000" w:rsidRDefault="00000000" w:rsidRPr="00000000" w14:paraId="0000004E">
      <w:pPr>
        <w:widowControl w:val="0"/>
        <w:spacing w:line="240" w:lineRule="auto"/>
        <w:jc w:val="center"/>
        <w:rPr>
          <w:sz w:val="18"/>
          <w:szCs w:val="18"/>
        </w:rPr>
      </w:pPr>
      <w:r w:rsidDel="00000000" w:rsidR="00000000" w:rsidRPr="00000000">
        <w:rPr>
          <w:b w:val="1"/>
          <w:sz w:val="18"/>
          <w:szCs w:val="18"/>
          <w:rtl w:val="0"/>
        </w:rPr>
        <w:t xml:space="preserve">[Titrant]:</w:t>
      </w:r>
      <w:r w:rsidDel="00000000" w:rsidR="00000000" w:rsidRPr="00000000">
        <w:rPr>
          <w:sz w:val="18"/>
          <w:szCs w:val="18"/>
          <w:rtl w:val="0"/>
        </w:rPr>
        <w:t xml:space="preserve"> Concentration of the titrant.</w:t>
      </w:r>
    </w:p>
    <w:p w:rsidR="00000000" w:rsidDel="00000000" w:rsidP="00000000" w:rsidRDefault="00000000" w:rsidRPr="00000000" w14:paraId="0000004F">
      <w:pPr>
        <w:widowControl w:val="0"/>
        <w:spacing w:line="240" w:lineRule="auto"/>
        <w:jc w:val="center"/>
        <w:rPr>
          <w:sz w:val="24"/>
          <w:szCs w:val="24"/>
        </w:rPr>
      </w:pPr>
      <w:r w:rsidDel="00000000" w:rsidR="00000000" w:rsidRPr="00000000">
        <w:rPr>
          <w:b w:val="1"/>
          <w:sz w:val="18"/>
          <w:szCs w:val="18"/>
          <w:rtl w:val="0"/>
        </w:rPr>
        <w:t xml:space="preserve">V</w:t>
      </w:r>
      <w:r w:rsidDel="00000000" w:rsidR="00000000" w:rsidRPr="00000000">
        <w:rPr>
          <w:b w:val="1"/>
          <w:sz w:val="18"/>
          <w:szCs w:val="18"/>
          <w:vertAlign w:val="subscript"/>
          <w:rtl w:val="0"/>
        </w:rPr>
        <w:t xml:space="preserve">Titrant</w:t>
      </w:r>
      <w:r w:rsidDel="00000000" w:rsidR="00000000" w:rsidRPr="00000000">
        <w:rPr>
          <w:b w:val="1"/>
          <w:sz w:val="18"/>
          <w:szCs w:val="18"/>
          <w:rtl w:val="0"/>
        </w:rPr>
        <w:t xml:space="preserve">: </w:t>
      </w:r>
      <w:r w:rsidDel="00000000" w:rsidR="00000000" w:rsidRPr="00000000">
        <w:rPr>
          <w:sz w:val="18"/>
          <w:szCs w:val="18"/>
          <w:rtl w:val="0"/>
        </w:rPr>
        <w:t xml:space="preserve">Spent volume of the titrant.</w:t>
      </w:r>
      <w:r w:rsidDel="00000000" w:rsidR="00000000" w:rsidRPr="00000000">
        <w:rPr>
          <w:rtl w:val="0"/>
        </w:rPr>
      </w:r>
    </w:p>
    <w:p w:rsidR="00000000" w:rsidDel="00000000" w:rsidP="00000000" w:rsidRDefault="00000000" w:rsidRPr="00000000" w14:paraId="00000050">
      <w:pPr>
        <w:spacing w:after="200" w:before="200" w:lineRule="auto"/>
        <w:jc w:val="both"/>
        <w:rPr/>
      </w:pPr>
      <w:r w:rsidDel="00000000" w:rsidR="00000000" w:rsidRPr="00000000">
        <w:rPr>
          <w:rtl w:val="0"/>
        </w:rPr>
      </w:r>
    </w:p>
    <w:tbl>
      <w:tblPr>
        <w:tblStyle w:val="Table6"/>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51">
            <w:pPr>
              <w:pStyle w:val="Heading1"/>
              <w:spacing w:after="0" w:before="0" w:lineRule="auto"/>
              <w:jc w:val="center"/>
              <w:rPr>
                <w:b w:val="1"/>
                <w:color w:val="ffffff"/>
                <w:sz w:val="36"/>
                <w:szCs w:val="36"/>
              </w:rPr>
            </w:pPr>
            <w:bookmarkStart w:colFirst="0" w:colLast="0" w:name="_t5cm4a8p0m01" w:id="4"/>
            <w:bookmarkEnd w:id="4"/>
            <w:r w:rsidDel="00000000" w:rsidR="00000000" w:rsidRPr="00000000">
              <w:rPr>
                <w:b w:val="1"/>
                <w:color w:val="ffffff"/>
                <w:sz w:val="36"/>
                <w:szCs w:val="36"/>
                <w:rtl w:val="0"/>
              </w:rPr>
              <w:t xml:space="preserve">Development of the experiment</w:t>
            </w:r>
          </w:p>
        </w:tc>
      </w:tr>
    </w:tbl>
    <w:p w:rsidR="00000000" w:rsidDel="00000000" w:rsidP="00000000" w:rsidRDefault="00000000" w:rsidRPr="00000000" w14:paraId="00000052">
      <w:pPr>
        <w:spacing w:after="200" w:before="200" w:lineRule="auto"/>
        <w:jc w:val="both"/>
        <w:rPr>
          <w:sz w:val="24"/>
          <w:szCs w:val="24"/>
        </w:rPr>
      </w:pPr>
      <w:r w:rsidDel="00000000" w:rsidR="00000000" w:rsidRPr="00000000">
        <w:rPr>
          <w:sz w:val="24"/>
          <w:szCs w:val="24"/>
          <w:rtl w:val="0"/>
        </w:rPr>
        <w:t xml:space="preserve">This activity is designed to use two different analytical techniques: The potentiometric technique and colorimetry. </w:t>
      </w:r>
      <w:r w:rsidDel="00000000" w:rsidR="00000000" w:rsidRPr="00000000">
        <w:rPr>
          <w:b w:val="1"/>
          <w:sz w:val="24"/>
          <w:szCs w:val="24"/>
          <w:rtl w:val="0"/>
        </w:rPr>
        <w:t xml:space="preserve">Potentiometry </w:t>
      </w:r>
      <w:r w:rsidDel="00000000" w:rsidR="00000000" w:rsidRPr="00000000">
        <w:rPr>
          <w:sz w:val="24"/>
          <w:szCs w:val="24"/>
          <w:rtl w:val="0"/>
        </w:rPr>
        <w:t xml:space="preserve">measures the electrical potential of a solution by means of a digital pH sensor, since this parameter has a great influence on the equivalence point.</w:t>
      </w:r>
      <w:r w:rsidDel="00000000" w:rsidR="00000000" w:rsidRPr="00000000">
        <w:rPr>
          <w:sz w:val="24"/>
          <w:szCs w:val="24"/>
          <w:vertAlign w:val="superscript"/>
          <w:rtl w:val="0"/>
        </w:rPr>
        <w:t xml:space="preserve">1</w:t>
      </w:r>
      <w:r w:rsidDel="00000000" w:rsidR="00000000" w:rsidRPr="00000000">
        <w:rPr>
          <w:sz w:val="24"/>
          <w:szCs w:val="24"/>
          <w:rtl w:val="0"/>
        </w:rPr>
        <w:t xml:space="preserve"> </w:t>
      </w:r>
      <w:r w:rsidDel="00000000" w:rsidR="00000000" w:rsidRPr="00000000">
        <w:rPr>
          <w:b w:val="1"/>
          <w:sz w:val="24"/>
          <w:szCs w:val="24"/>
          <w:rtl w:val="0"/>
        </w:rPr>
        <w:t xml:space="preserve">Colorimetry</w:t>
      </w:r>
      <w:r w:rsidDel="00000000" w:rsidR="00000000" w:rsidRPr="00000000">
        <w:rPr>
          <w:sz w:val="24"/>
          <w:szCs w:val="24"/>
          <w:rtl w:val="0"/>
        </w:rPr>
        <w:t xml:space="preserve">, on the other hand, is based on the observation of the color change produced by the indicator.</w:t>
      </w:r>
      <w:r w:rsidDel="00000000" w:rsidR="00000000" w:rsidRPr="00000000">
        <w:rPr>
          <w:sz w:val="24"/>
          <w:szCs w:val="24"/>
          <w:vertAlign w:val="superscript"/>
          <w:rtl w:val="0"/>
        </w:rPr>
        <w:t xml:space="preserve">2</w:t>
      </w:r>
      <w:r w:rsidDel="00000000" w:rsidR="00000000" w:rsidRPr="00000000">
        <w:rPr>
          <w:sz w:val="24"/>
          <w:szCs w:val="24"/>
          <w:rtl w:val="0"/>
        </w:rPr>
        <w:t xml:space="preserve"> </w:t>
      </w:r>
    </w:p>
    <w:p w:rsidR="00000000" w:rsidDel="00000000" w:rsidP="00000000" w:rsidRDefault="00000000" w:rsidRPr="00000000" w14:paraId="00000053">
      <w:pPr>
        <w:spacing w:after="200" w:before="200" w:lineRule="auto"/>
        <w:jc w:val="both"/>
        <w:rPr>
          <w:sz w:val="24"/>
          <w:szCs w:val="24"/>
        </w:rPr>
      </w:pPr>
      <w:r w:rsidDel="00000000" w:rsidR="00000000" w:rsidRPr="00000000">
        <w:rPr>
          <w:sz w:val="24"/>
          <w:szCs w:val="24"/>
          <w:rtl w:val="0"/>
        </w:rPr>
        <w:t xml:space="preserve">In this experiment, the concentration of a 10 mL (analyte volume) solution of </w:t>
      </w:r>
      <w:r w:rsidDel="00000000" w:rsidR="00000000" w:rsidRPr="00000000">
        <w:rPr>
          <w:b w:val="1"/>
          <w:sz w:val="24"/>
          <w:szCs w:val="24"/>
          <w:rtl w:val="0"/>
        </w:rPr>
        <w:t xml:space="preserve">acetic acid </w:t>
      </w:r>
      <w:r w:rsidDel="00000000" w:rsidR="00000000" w:rsidRPr="00000000">
        <w:rPr>
          <w:sz w:val="24"/>
          <w:szCs w:val="24"/>
          <w:rtl w:val="0"/>
        </w:rPr>
        <w:t xml:space="preserve">is to be determined. For this purpose, the titrant sodium hydroxide, which is available in the burette and whose concentration is known, is used. In both laboratories you have two </w:t>
      </w:r>
      <w:r w:rsidDel="00000000" w:rsidR="00000000" w:rsidRPr="00000000">
        <w:rPr>
          <w:b w:val="1"/>
          <w:sz w:val="24"/>
          <w:szCs w:val="24"/>
          <w:rtl w:val="0"/>
        </w:rPr>
        <w:t xml:space="preserve">titrants </w:t>
      </w:r>
      <w:r w:rsidDel="00000000" w:rsidR="00000000" w:rsidRPr="00000000">
        <w:rPr>
          <w:sz w:val="24"/>
          <w:szCs w:val="24"/>
          <w:rtl w:val="0"/>
        </w:rPr>
        <w:t xml:space="preserve">of different concentrations (both titrants will be used). An </w:t>
      </w:r>
      <w:r w:rsidDel="00000000" w:rsidR="00000000" w:rsidRPr="00000000">
        <w:rPr>
          <w:b w:val="1"/>
          <w:sz w:val="24"/>
          <w:szCs w:val="24"/>
          <w:rtl w:val="0"/>
        </w:rPr>
        <w:t xml:space="preserve">indicator </w:t>
      </w:r>
      <w:r w:rsidDel="00000000" w:rsidR="00000000" w:rsidRPr="00000000">
        <w:rPr>
          <w:sz w:val="24"/>
          <w:szCs w:val="24"/>
          <w:rtl w:val="0"/>
        </w:rPr>
        <w:t xml:space="preserve">is also used, which changes color when the solution reaches a pH. An indicator is an acid or a weak base and the amount added to the titrations must be small, so that it does not contribute to the pH of the solution, and only a small amount of titrant is needed for the change to occur.</w:t>
      </w:r>
      <w:r w:rsidDel="00000000" w:rsidR="00000000" w:rsidRPr="00000000">
        <w:rPr>
          <w:sz w:val="24"/>
          <w:szCs w:val="24"/>
          <w:vertAlign w:val="superscript"/>
          <w:rtl w:val="0"/>
        </w:rPr>
        <w:t xml:space="preserve">1</w:t>
      </w:r>
      <w:r w:rsidDel="00000000" w:rsidR="00000000" w:rsidRPr="00000000">
        <w:rPr>
          <w:rtl w:val="0"/>
        </w:rPr>
      </w:r>
    </w:p>
    <w:p w:rsidR="00000000" w:rsidDel="00000000" w:rsidP="00000000" w:rsidRDefault="00000000" w:rsidRPr="00000000" w14:paraId="00000054">
      <w:pPr>
        <w:spacing w:after="200" w:before="200" w:lineRule="auto"/>
        <w:jc w:val="both"/>
        <w:rPr>
          <w:sz w:val="24"/>
          <w:szCs w:val="24"/>
        </w:rPr>
      </w:pPr>
      <w:r w:rsidDel="00000000" w:rsidR="00000000" w:rsidRPr="00000000">
        <w:rPr>
          <w:sz w:val="24"/>
          <w:szCs w:val="24"/>
          <w:rtl w:val="0"/>
        </w:rPr>
        <w:t xml:space="preserve">The </w:t>
      </w:r>
      <w:r w:rsidDel="00000000" w:rsidR="00000000" w:rsidRPr="00000000">
        <w:rPr>
          <w:b w:val="1"/>
          <w:sz w:val="24"/>
          <w:szCs w:val="24"/>
          <w:rtl w:val="0"/>
        </w:rPr>
        <w:t xml:space="preserve">acid-base reaction</w:t>
      </w:r>
      <w:r w:rsidDel="00000000" w:rsidR="00000000" w:rsidRPr="00000000">
        <w:rPr>
          <w:sz w:val="24"/>
          <w:szCs w:val="24"/>
          <w:rtl w:val="0"/>
        </w:rPr>
        <w:t xml:space="preserve">(Reaction 1) is the neutralization titration of acetic acid by the addition of a strong base, sodium hydroxide, releasing water and sodium acetate as reaction products.  </w:t>
      </w:r>
    </w:p>
    <w:p w:rsidR="00000000" w:rsidDel="00000000" w:rsidP="00000000" w:rsidRDefault="00000000" w:rsidRPr="00000000" w14:paraId="00000055">
      <w:pPr>
        <w:spacing w:after="200" w:before="200" w:lineRule="auto"/>
        <w:jc w:val="center"/>
        <w:rPr>
          <w:sz w:val="20"/>
          <w:szCs w:val="20"/>
        </w:rPr>
      </w:pPr>
      <w:r w:rsidDel="00000000" w:rsidR="00000000" w:rsidRPr="00000000">
        <w:rPr>
          <w:sz w:val="20"/>
          <w:szCs w:val="20"/>
          <w:rtl w:val="0"/>
        </w:rPr>
        <w:t xml:space="preserve">Reaction 1.- Acid-base neutralization reaction of acetic acid in the presence of NaOH.</w:t>
      </w:r>
    </w:p>
    <w:p w:rsidR="00000000" w:rsidDel="00000000" w:rsidP="00000000" w:rsidRDefault="00000000" w:rsidRPr="00000000" w14:paraId="00000056">
      <w:pPr>
        <w:jc w:val="center"/>
        <w:rPr>
          <w:sz w:val="24"/>
          <w:szCs w:val="24"/>
        </w:rPr>
      </w:pPr>
      <m:oMath>
        <m:r>
          <w:rPr>
            <w:sz w:val="24"/>
            <w:szCs w:val="24"/>
          </w:rPr>
          <m:t xml:space="preserve">NaOH + </m:t>
        </m:r>
        <m:sSub>
          <m:sSubPr>
            <m:ctrlPr>
              <w:rPr>
                <w:sz w:val="24"/>
                <w:szCs w:val="24"/>
              </w:rPr>
            </m:ctrlPr>
          </m:sSubPr>
          <m:e>
            <m:r>
              <w:rPr>
                <w:sz w:val="24"/>
                <w:szCs w:val="24"/>
              </w:rPr>
              <m:t xml:space="preserve">CH</m:t>
            </m:r>
          </m:e>
          <m:sub>
            <m:r>
              <w:rPr>
                <w:sz w:val="24"/>
                <w:szCs w:val="24"/>
              </w:rPr>
              <m:t xml:space="preserve">3</m:t>
            </m:r>
          </m:sub>
        </m:sSub>
        <m:r>
          <w:rPr>
            <w:sz w:val="24"/>
            <w:szCs w:val="24"/>
          </w:rPr>
          <m:t xml:space="preserve">COOH</m:t>
        </m:r>
        <m:r>
          <w:rPr>
            <w:sz w:val="24"/>
            <w:szCs w:val="24"/>
          </w:rPr>
          <m:t>→</m:t>
        </m:r>
        <m:sSub>
          <m:sSubPr>
            <m:ctrlPr>
              <w:rPr>
                <w:sz w:val="24"/>
                <w:szCs w:val="24"/>
              </w:rPr>
            </m:ctrlPr>
          </m:sSubPr>
          <m:e>
            <m:r>
              <w:rPr>
                <w:sz w:val="24"/>
                <w:szCs w:val="24"/>
              </w:rPr>
              <m:t xml:space="preserve">H</m:t>
            </m:r>
          </m:e>
          <m:sub>
            <m:r>
              <w:rPr>
                <w:sz w:val="24"/>
                <w:szCs w:val="24"/>
              </w:rPr>
              <m:t xml:space="preserve">2</m:t>
            </m:r>
          </m:sub>
        </m:sSub>
        <m:r>
          <w:rPr>
            <w:sz w:val="24"/>
            <w:szCs w:val="24"/>
          </w:rPr>
          <m:t xml:space="preserve">O +</m:t>
        </m:r>
        <m:sSub>
          <m:sSubPr>
            <m:ctrlPr>
              <w:rPr>
                <w:sz w:val="24"/>
                <w:szCs w:val="24"/>
              </w:rPr>
            </m:ctrlPr>
          </m:sSubPr>
          <m:e>
            <m:r>
              <w:rPr>
                <w:sz w:val="24"/>
                <w:szCs w:val="24"/>
              </w:rPr>
              <m:t xml:space="preserve">CH</m:t>
            </m:r>
          </m:e>
          <m:sub>
            <m:r>
              <w:rPr>
                <w:sz w:val="24"/>
                <w:szCs w:val="24"/>
              </w:rPr>
              <m:t xml:space="preserve">3</m:t>
            </m:r>
          </m:sub>
        </m:sSub>
        <m:r>
          <w:rPr>
            <w:sz w:val="24"/>
            <w:szCs w:val="24"/>
          </w:rPr>
          <m:t xml:space="preserve">CO</m:t>
        </m:r>
        <m:sSup>
          <m:sSupPr>
            <m:ctrlPr>
              <w:rPr>
                <w:sz w:val="24"/>
                <w:szCs w:val="24"/>
              </w:rPr>
            </m:ctrlPr>
          </m:sSupPr>
          <m:e>
            <m:r>
              <w:rPr>
                <w:sz w:val="24"/>
                <w:szCs w:val="24"/>
              </w:rPr>
              <m:t xml:space="preserve">O</m:t>
            </m:r>
          </m:e>
          <m:sup>
            <m:r>
              <w:rPr>
                <w:sz w:val="24"/>
                <w:szCs w:val="24"/>
              </w:rPr>
              <m:t xml:space="preserve">-</m:t>
            </m:r>
          </m:sup>
        </m:sSup>
        <m:r>
          <w:rPr>
            <w:sz w:val="24"/>
            <w:szCs w:val="24"/>
          </w:rPr>
          <m:t xml:space="preserve"> + </m:t>
        </m:r>
        <m:sSup>
          <m:sSupPr>
            <m:ctrlPr>
              <w:rPr>
                <w:sz w:val="24"/>
                <w:szCs w:val="24"/>
              </w:rPr>
            </m:ctrlPr>
          </m:sSupPr>
          <m:e>
            <m:r>
              <w:rPr>
                <w:sz w:val="24"/>
                <w:szCs w:val="24"/>
              </w:rPr>
              <m:t xml:space="preserve">Na</m:t>
            </m:r>
          </m:e>
          <m:sup>
            <m:r>
              <w:rPr>
                <w:sz w:val="24"/>
                <w:szCs w:val="24"/>
              </w:rPr>
              <m:t xml:space="preserve">+</m:t>
            </m:r>
          </m:sup>
        </m:sSup>
        <m:r>
          <w:rPr>
            <w:sz w:val="24"/>
            <w:szCs w:val="24"/>
          </w:rPr>
          <m:t xml:space="preserve"> </m:t>
        </m:r>
      </m:oMath>
      <w:r w:rsidDel="00000000" w:rsidR="00000000" w:rsidRPr="00000000">
        <w:rPr>
          <w:rtl w:val="0"/>
        </w:rPr>
      </w:r>
    </w:p>
    <w:p w:rsidR="00000000" w:rsidDel="00000000" w:rsidP="00000000" w:rsidRDefault="00000000" w:rsidRPr="00000000" w14:paraId="00000057">
      <w:pPr>
        <w:spacing w:after="200" w:before="200" w:lineRule="auto"/>
        <w:jc w:val="both"/>
        <w:rPr>
          <w:sz w:val="24"/>
          <w:szCs w:val="24"/>
        </w:rPr>
      </w:pPr>
      <w:r w:rsidDel="00000000" w:rsidR="00000000" w:rsidRPr="00000000">
        <w:rPr>
          <w:sz w:val="24"/>
          <w:szCs w:val="24"/>
          <w:rtl w:val="0"/>
        </w:rPr>
        <w:t xml:space="preserve">As shown in Figure 1, drops are dropped from the </w:t>
      </w:r>
      <w:r w:rsidDel="00000000" w:rsidR="00000000" w:rsidRPr="00000000">
        <w:rPr>
          <w:b w:val="1"/>
          <w:sz w:val="24"/>
          <w:szCs w:val="24"/>
          <w:rtl w:val="0"/>
        </w:rPr>
        <w:t xml:space="preserve">burette </w:t>
      </w:r>
      <w:r w:rsidDel="00000000" w:rsidR="00000000" w:rsidRPr="00000000">
        <w:rPr>
          <w:sz w:val="24"/>
          <w:szCs w:val="24"/>
          <w:rtl w:val="0"/>
        </w:rPr>
        <w:t xml:space="preserve">into the </w:t>
      </w:r>
      <w:r w:rsidDel="00000000" w:rsidR="00000000" w:rsidRPr="00000000">
        <w:rPr>
          <w:b w:val="1"/>
          <w:sz w:val="24"/>
          <w:szCs w:val="24"/>
          <w:rtl w:val="0"/>
        </w:rPr>
        <w:t xml:space="preserve">beaker </w:t>
      </w:r>
      <w:r w:rsidDel="00000000" w:rsidR="00000000" w:rsidRPr="00000000">
        <w:rPr>
          <w:sz w:val="24"/>
          <w:szCs w:val="24"/>
          <w:rtl w:val="0"/>
        </w:rPr>
        <w:t xml:space="preserve">containing </w:t>
      </w:r>
      <w:r w:rsidDel="00000000" w:rsidR="00000000" w:rsidRPr="00000000">
        <w:rPr>
          <w:sz w:val="24"/>
          <w:szCs w:val="24"/>
          <w:rtl w:val="0"/>
        </w:rPr>
        <w:t xml:space="preserve">the unknown sample. A </w:t>
      </w:r>
      <w:r w:rsidDel="00000000" w:rsidR="00000000" w:rsidRPr="00000000">
        <w:rPr>
          <w:b w:val="1"/>
          <w:sz w:val="24"/>
          <w:szCs w:val="24"/>
          <w:rtl w:val="0"/>
        </w:rPr>
        <w:t xml:space="preserve">heating-rotating plate</w:t>
      </w:r>
      <w:r w:rsidDel="00000000" w:rsidR="00000000" w:rsidRPr="00000000">
        <w:rPr>
          <w:sz w:val="24"/>
          <w:szCs w:val="24"/>
          <w:rtl w:val="0"/>
        </w:rPr>
        <w:t xml:space="preserve"> is also available, together with a magnet to control the stirring of the solution. It is measured by </w:t>
      </w:r>
      <w:r w:rsidDel="00000000" w:rsidR="00000000" w:rsidRPr="00000000">
        <w:rPr>
          <w:b w:val="1"/>
          <w:sz w:val="24"/>
          <w:szCs w:val="24"/>
          <w:rtl w:val="0"/>
        </w:rPr>
        <w:t xml:space="preserve">dripping</w:t>
      </w:r>
      <w:r w:rsidDel="00000000" w:rsidR="00000000" w:rsidRPr="00000000">
        <w:rPr>
          <w:sz w:val="24"/>
          <w:szCs w:val="24"/>
          <w:rtl w:val="0"/>
        </w:rPr>
        <w:t xml:space="preserve"> until the equivalence point is reached. Experimentally it is observed when the dissolution that was colorless becomes pinkish.</w:t>
      </w:r>
    </w:p>
    <w:p w:rsidR="00000000" w:rsidDel="00000000" w:rsidP="00000000" w:rsidRDefault="00000000" w:rsidRPr="00000000" w14:paraId="00000058">
      <w:pPr>
        <w:spacing w:after="0" w:before="0" w:lineRule="auto"/>
        <w:jc w:val="center"/>
        <w:rPr>
          <w:sz w:val="24"/>
          <w:szCs w:val="24"/>
        </w:rPr>
      </w:pPr>
      <w:r w:rsidDel="00000000" w:rsidR="00000000" w:rsidRPr="00000000">
        <w:rPr>
          <w:sz w:val="24"/>
          <w:szCs w:val="24"/>
        </w:rPr>
        <w:drawing>
          <wp:inline distB="114300" distT="114300" distL="114300" distR="114300">
            <wp:extent cx="2435063" cy="2799494"/>
            <wp:effectExtent b="0" l="0" r="0" t="0"/>
            <wp:docPr id="8" name="image7.png"/>
            <a:graphic>
              <a:graphicData uri="http://schemas.openxmlformats.org/drawingml/2006/picture">
                <pic:pic>
                  <pic:nvPicPr>
                    <pic:cNvPr id="0" name="image7.png"/>
                    <pic:cNvPicPr preferRelativeResize="0"/>
                  </pic:nvPicPr>
                  <pic:blipFill>
                    <a:blip r:embed="rId10"/>
                    <a:srcRect b="21196" l="1827" r="49335" t="2157"/>
                    <a:stretch>
                      <a:fillRect/>
                    </a:stretch>
                  </pic:blipFill>
                  <pic:spPr>
                    <a:xfrm>
                      <a:off x="0" y="0"/>
                      <a:ext cx="2435063" cy="279949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1295400</wp:posOffset>
                </wp:positionH>
                <wp:positionV relativeFrom="paragraph">
                  <wp:posOffset>1981200</wp:posOffset>
                </wp:positionV>
                <wp:extent cx="1105546" cy="260128"/>
                <wp:effectExtent b="0" l="0" r="0" t="0"/>
                <wp:wrapNone/>
                <wp:docPr id="2" name=""/>
                <a:graphic>
                  <a:graphicData uri="http://schemas.microsoft.com/office/word/2010/wordprocessingGroup">
                    <wpg:wgp>
                      <wpg:cNvGrpSpPr/>
                      <wpg:grpSpPr>
                        <a:xfrm>
                          <a:off x="2383300" y="2565000"/>
                          <a:ext cx="1105546" cy="260128"/>
                          <a:chOff x="2383300" y="2565000"/>
                          <a:chExt cx="1765150" cy="400200"/>
                        </a:xfrm>
                      </wpg:grpSpPr>
                      <wps:wsp>
                        <wps:cNvCnPr/>
                        <wps:spPr>
                          <a:xfrm flipH="1">
                            <a:off x="3265500" y="2745450"/>
                            <a:ext cx="882300" cy="393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 name="Shape 3"/>
                        <wps:spPr>
                          <a:xfrm>
                            <a:off x="2383300" y="2565000"/>
                            <a:ext cx="8823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Magnet</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1295400</wp:posOffset>
                </wp:positionH>
                <wp:positionV relativeFrom="paragraph">
                  <wp:posOffset>1981200</wp:posOffset>
                </wp:positionV>
                <wp:extent cx="1105546" cy="260128"/>
                <wp:effectExtent b="0" l="0" r="0" t="0"/>
                <wp:wrapNone/>
                <wp:docPr id="2"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105546" cy="26012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2867025</wp:posOffset>
                </wp:positionH>
                <wp:positionV relativeFrom="paragraph">
                  <wp:posOffset>2209800</wp:posOffset>
                </wp:positionV>
                <wp:extent cx="2247900" cy="303398"/>
                <wp:effectExtent b="0" l="0" r="0" t="0"/>
                <wp:wrapNone/>
                <wp:docPr id="3" name=""/>
                <a:graphic>
                  <a:graphicData uri="http://schemas.microsoft.com/office/word/2010/wordprocessingGroup">
                    <wpg:wgp>
                      <wpg:cNvGrpSpPr/>
                      <wpg:grpSpPr>
                        <a:xfrm>
                          <a:off x="2695250" y="1646850"/>
                          <a:ext cx="2247900" cy="303398"/>
                          <a:chOff x="2695250" y="1646850"/>
                          <a:chExt cx="3088350" cy="400200"/>
                        </a:xfrm>
                      </wpg:grpSpPr>
                      <wps:wsp>
                        <wps:cNvCnPr/>
                        <wps:spPr>
                          <a:xfrm flipH="1" rot="10800000">
                            <a:off x="2695750" y="1862525"/>
                            <a:ext cx="872400" cy="294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 name="Shape 3"/>
                        <wps:spPr>
                          <a:xfrm>
                            <a:off x="3636800" y="1646850"/>
                            <a:ext cx="2146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Heating plate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2867025</wp:posOffset>
                </wp:positionH>
                <wp:positionV relativeFrom="paragraph">
                  <wp:posOffset>2209800</wp:posOffset>
                </wp:positionV>
                <wp:extent cx="2247900" cy="303398"/>
                <wp:effectExtent b="0" l="0" r="0" t="0"/>
                <wp:wrapNone/>
                <wp:docPr id="3"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2247900" cy="30339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2552700</wp:posOffset>
                </wp:positionH>
                <wp:positionV relativeFrom="paragraph">
                  <wp:posOffset>114300</wp:posOffset>
                </wp:positionV>
                <wp:extent cx="2247900" cy="303398"/>
                <wp:effectExtent b="0" l="0" r="0" t="0"/>
                <wp:wrapNone/>
                <wp:docPr id="4" name=""/>
                <a:graphic>
                  <a:graphicData uri="http://schemas.microsoft.com/office/word/2010/wordprocessingGroup">
                    <wpg:wgp>
                      <wpg:cNvGrpSpPr/>
                      <wpg:grpSpPr>
                        <a:xfrm>
                          <a:off x="2695250" y="1646850"/>
                          <a:ext cx="2247900" cy="303398"/>
                          <a:chOff x="2695250" y="1646850"/>
                          <a:chExt cx="3088350" cy="400200"/>
                        </a:xfrm>
                      </wpg:grpSpPr>
                      <wps:wsp>
                        <wps:cNvCnPr/>
                        <wps:spPr>
                          <a:xfrm flipH="1" rot="10800000">
                            <a:off x="2695750" y="1862525"/>
                            <a:ext cx="872400" cy="294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 name="Shape 3"/>
                        <wps:spPr>
                          <a:xfrm>
                            <a:off x="3636800" y="1646850"/>
                            <a:ext cx="2146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Burette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2552700</wp:posOffset>
                </wp:positionH>
                <wp:positionV relativeFrom="paragraph">
                  <wp:posOffset>114300</wp:posOffset>
                </wp:positionV>
                <wp:extent cx="2247900" cy="303398"/>
                <wp:effectExtent b="0" l="0" r="0" t="0"/>
                <wp:wrapNone/>
                <wp:docPr id="4"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2247900" cy="303398"/>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1857375</wp:posOffset>
                </wp:positionV>
                <wp:extent cx="2247900" cy="303398"/>
                <wp:effectExtent b="0" l="0" r="0" t="0"/>
                <wp:wrapNone/>
                <wp:docPr id="1" name=""/>
                <a:graphic>
                  <a:graphicData uri="http://schemas.microsoft.com/office/word/2010/wordprocessingGroup">
                    <wpg:wgp>
                      <wpg:cNvGrpSpPr/>
                      <wpg:grpSpPr>
                        <a:xfrm>
                          <a:off x="2695250" y="1646850"/>
                          <a:ext cx="2247900" cy="303398"/>
                          <a:chOff x="2695250" y="1646850"/>
                          <a:chExt cx="3088350" cy="400200"/>
                        </a:xfrm>
                      </wpg:grpSpPr>
                      <wps:wsp>
                        <wps:cNvCnPr/>
                        <wps:spPr>
                          <a:xfrm flipH="1" rot="10800000">
                            <a:off x="2695750" y="1862525"/>
                            <a:ext cx="872400" cy="29400"/>
                          </a:xfrm>
                          <a:prstGeom prst="straightConnector1">
                            <a:avLst/>
                          </a:prstGeom>
                          <a:noFill/>
                          <a:ln cap="flat" cmpd="sng" w="2857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 name="Shape 3"/>
                        <wps:spPr>
                          <a:xfrm>
                            <a:off x="3636800" y="1646850"/>
                            <a:ext cx="2146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Beaker</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2695575</wp:posOffset>
                </wp:positionH>
                <wp:positionV relativeFrom="paragraph">
                  <wp:posOffset>1857375</wp:posOffset>
                </wp:positionV>
                <wp:extent cx="2247900" cy="303398"/>
                <wp:effectExtent b="0" l="0" r="0" t="0"/>
                <wp:wrapNone/>
                <wp:docPr id="1"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247900" cy="303398"/>
                        </a:xfrm>
                        <a:prstGeom prst="rect"/>
                        <a:ln/>
                      </pic:spPr>
                    </pic:pic>
                  </a:graphicData>
                </a:graphic>
              </wp:anchor>
            </w:drawing>
          </mc:Fallback>
        </mc:AlternateContent>
      </w:r>
    </w:p>
    <w:p w:rsidR="00000000" w:rsidDel="00000000" w:rsidP="00000000" w:rsidRDefault="00000000" w:rsidRPr="00000000" w14:paraId="00000059">
      <w:pPr>
        <w:spacing w:after="0" w:before="0" w:lineRule="auto"/>
        <w:jc w:val="center"/>
        <w:rPr>
          <w:sz w:val="24"/>
          <w:szCs w:val="24"/>
        </w:rPr>
      </w:pPr>
      <w:r w:rsidDel="00000000" w:rsidR="00000000" w:rsidRPr="00000000">
        <w:rPr>
          <w:sz w:val="20"/>
          <w:szCs w:val="20"/>
          <w:rtl w:val="0"/>
        </w:rPr>
        <w:t xml:space="preserve">Figure 1.- Set-up of the experiment carried out in both laboratories.</w:t>
      </w:r>
      <w:r w:rsidDel="00000000" w:rsidR="00000000" w:rsidRPr="00000000">
        <w:rPr>
          <w:rtl w:val="0"/>
        </w:rPr>
      </w:r>
    </w:p>
    <w:p w:rsidR="00000000" w:rsidDel="00000000" w:rsidP="00000000" w:rsidRDefault="00000000" w:rsidRPr="00000000" w14:paraId="0000005A">
      <w:pPr>
        <w:spacing w:after="200" w:before="200" w:lineRule="auto"/>
        <w:jc w:val="both"/>
        <w:rPr>
          <w:sz w:val="24"/>
          <w:szCs w:val="24"/>
        </w:rPr>
      </w:pPr>
      <w:r w:rsidDel="00000000" w:rsidR="00000000" w:rsidRPr="00000000">
        <w:rPr>
          <w:sz w:val="24"/>
          <w:szCs w:val="24"/>
          <w:rtl w:val="0"/>
        </w:rPr>
        <w:t xml:space="preserve">Before starting the experiment, some aspects must be taken into account:</w:t>
      </w:r>
    </w:p>
    <w:p w:rsidR="00000000" w:rsidDel="00000000" w:rsidP="00000000" w:rsidRDefault="00000000" w:rsidRPr="00000000" w14:paraId="0000005B">
      <w:pPr>
        <w:numPr>
          <w:ilvl w:val="0"/>
          <w:numId w:val="1"/>
        </w:numPr>
        <w:spacing w:after="0" w:afterAutospacing="0" w:before="200" w:lineRule="auto"/>
        <w:ind w:left="720" w:hanging="360"/>
        <w:jc w:val="both"/>
        <w:rPr>
          <w:sz w:val="24"/>
          <w:szCs w:val="24"/>
        </w:rPr>
      </w:pPr>
      <w:r w:rsidDel="00000000" w:rsidR="00000000" w:rsidRPr="00000000">
        <w:rPr>
          <w:sz w:val="24"/>
          <w:szCs w:val="24"/>
          <w:rtl w:val="0"/>
        </w:rPr>
        <w:t xml:space="preserve">When noting the volumes, the shape of the drop must be taken into account and the volume must be well noted. Below is an image of a burette containing a solution (Figure 2a). The volume to be noted is that of the </w:t>
      </w:r>
      <w:r w:rsidDel="00000000" w:rsidR="00000000" w:rsidRPr="00000000">
        <w:rPr>
          <w:b w:val="1"/>
          <w:sz w:val="24"/>
          <w:szCs w:val="24"/>
          <w:rtl w:val="0"/>
        </w:rPr>
        <w:t xml:space="preserve">concave curve</w:t>
      </w:r>
      <w:r w:rsidDel="00000000" w:rsidR="00000000" w:rsidRPr="00000000">
        <w:rPr>
          <w:sz w:val="24"/>
          <w:szCs w:val="24"/>
          <w:rtl w:val="0"/>
        </w:rPr>
        <w:t xml:space="preserve">, that is to say, that of the end. In this case the volume would be 1.1 mL.</w:t>
      </w:r>
    </w:p>
    <w:p w:rsidR="00000000" w:rsidDel="00000000" w:rsidP="00000000" w:rsidRDefault="00000000" w:rsidRPr="00000000" w14:paraId="0000005C">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In </w:t>
      </w:r>
      <w:r w:rsidDel="00000000" w:rsidR="00000000" w:rsidRPr="00000000">
        <w:rPr>
          <w:b w:val="1"/>
          <w:sz w:val="24"/>
          <w:szCs w:val="24"/>
          <w:rtl w:val="0"/>
        </w:rPr>
        <w:t xml:space="preserve">colorimetry </w:t>
      </w:r>
      <w:r w:rsidDel="00000000" w:rsidR="00000000" w:rsidRPr="00000000">
        <w:rPr>
          <w:sz w:val="24"/>
          <w:szCs w:val="24"/>
          <w:rtl w:val="0"/>
        </w:rPr>
        <w:t xml:space="preserve">it is important to make sure that the </w:t>
      </w:r>
      <w:r w:rsidDel="00000000" w:rsidR="00000000" w:rsidRPr="00000000">
        <w:rPr>
          <w:b w:val="1"/>
          <w:sz w:val="24"/>
          <w:szCs w:val="24"/>
          <w:rtl w:val="0"/>
        </w:rPr>
        <w:t xml:space="preserve">color change is complete</w:t>
      </w:r>
      <w:r w:rsidDel="00000000" w:rsidR="00000000" w:rsidRPr="00000000">
        <w:rPr>
          <w:sz w:val="24"/>
          <w:szCs w:val="24"/>
          <w:rtl w:val="0"/>
        </w:rPr>
        <w:t xml:space="preserve">. Sometimes the human eye deceives us, and for that reason it is recommended to </w:t>
      </w:r>
      <w:r w:rsidDel="00000000" w:rsidR="00000000" w:rsidRPr="00000000">
        <w:rPr>
          <w:b w:val="1"/>
          <w:sz w:val="24"/>
          <w:szCs w:val="24"/>
          <w:rtl w:val="0"/>
        </w:rPr>
        <w:t xml:space="preserve">add one more drop</w:t>
      </w:r>
      <w:r w:rsidDel="00000000" w:rsidR="00000000" w:rsidRPr="00000000">
        <w:rPr>
          <w:sz w:val="24"/>
          <w:szCs w:val="24"/>
          <w:rtl w:val="0"/>
        </w:rPr>
        <w:t xml:space="preserve"> to make sure that the solution has completely changed color. It is recommended to wait until the solution acquires the color of Figure 2b.</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D">
      <w:pPr>
        <w:numPr>
          <w:ilvl w:val="0"/>
          <w:numId w:val="1"/>
        </w:numPr>
        <w:spacing w:after="200" w:before="0" w:beforeAutospacing="0" w:lineRule="auto"/>
        <w:ind w:left="720" w:hanging="360"/>
        <w:jc w:val="both"/>
        <w:rPr>
          <w:sz w:val="24"/>
          <w:szCs w:val="24"/>
          <w:u w:val="none"/>
        </w:rPr>
      </w:pPr>
      <w:r w:rsidDel="00000000" w:rsidR="00000000" w:rsidRPr="00000000">
        <w:rPr>
          <w:sz w:val="24"/>
          <w:szCs w:val="24"/>
          <w:rtl w:val="0"/>
        </w:rPr>
        <w:t xml:space="preserve">In </w:t>
      </w:r>
      <w:r w:rsidDel="00000000" w:rsidR="00000000" w:rsidRPr="00000000">
        <w:rPr>
          <w:b w:val="1"/>
          <w:sz w:val="24"/>
          <w:szCs w:val="24"/>
          <w:rtl w:val="0"/>
        </w:rPr>
        <w:t xml:space="preserve">potentiometry</w:t>
      </w:r>
      <w:r w:rsidDel="00000000" w:rsidR="00000000" w:rsidRPr="00000000">
        <w:rPr>
          <w:sz w:val="24"/>
          <w:szCs w:val="24"/>
          <w:rtl w:val="0"/>
        </w:rPr>
        <w:t xml:space="preserve">, on the other hand, the pH display is observed. When the</w:t>
      </w:r>
      <w:r w:rsidDel="00000000" w:rsidR="00000000" w:rsidRPr="00000000">
        <w:rPr>
          <w:b w:val="1"/>
          <w:sz w:val="24"/>
          <w:szCs w:val="24"/>
          <w:rtl w:val="0"/>
        </w:rPr>
        <w:t xml:space="preserve"> pH is 8.2</w:t>
      </w:r>
      <w:r w:rsidDel="00000000" w:rsidR="00000000" w:rsidRPr="00000000">
        <w:rPr>
          <w:sz w:val="24"/>
          <w:szCs w:val="24"/>
          <w:rtl w:val="0"/>
        </w:rPr>
        <w:t xml:space="preserve">, the equivalence point has been reached (Figure 2c). </w:t>
      </w:r>
      <w:r w:rsidDel="00000000" w:rsidR="00000000" w:rsidRPr="00000000">
        <w:rPr>
          <w:rtl w:val="0"/>
        </w:rPr>
      </w:r>
    </w:p>
    <w:p w:rsidR="00000000" w:rsidDel="00000000" w:rsidP="00000000" w:rsidRDefault="00000000" w:rsidRPr="00000000" w14:paraId="0000005E">
      <w:pPr>
        <w:spacing w:after="0" w:before="0" w:lineRule="auto"/>
        <w:jc w:val="center"/>
        <w:rPr>
          <w:sz w:val="20"/>
          <w:szCs w:val="20"/>
        </w:rPr>
      </w:pPr>
      <w:r w:rsidDel="00000000" w:rsidR="00000000" w:rsidRPr="00000000">
        <w:rPr>
          <w:sz w:val="24"/>
          <w:szCs w:val="24"/>
        </w:rPr>
        <w:drawing>
          <wp:inline distB="114300" distT="114300" distL="114300" distR="114300">
            <wp:extent cx="567818" cy="1485791"/>
            <wp:effectExtent b="0" l="0" r="0" t="0"/>
            <wp:docPr id="12" name="image9.png"/>
            <a:graphic>
              <a:graphicData uri="http://schemas.openxmlformats.org/drawingml/2006/picture">
                <pic:pic>
                  <pic:nvPicPr>
                    <pic:cNvPr id="0" name="image9.png"/>
                    <pic:cNvPicPr preferRelativeResize="0"/>
                  </pic:nvPicPr>
                  <pic:blipFill>
                    <a:blip r:embed="rId15"/>
                    <a:srcRect b="16664" l="23588" r="66777" t="5325"/>
                    <a:stretch>
                      <a:fillRect/>
                    </a:stretch>
                  </pic:blipFill>
                  <pic:spPr>
                    <a:xfrm>
                      <a:off x="0" y="0"/>
                      <a:ext cx="567818" cy="1485791"/>
                    </a:xfrm>
                    <a:prstGeom prst="rect"/>
                    <a:ln/>
                  </pic:spPr>
                </pic:pic>
              </a:graphicData>
            </a:graphic>
          </wp:inline>
        </w:drawing>
      </w:r>
      <w:r w:rsidDel="00000000" w:rsidR="00000000" w:rsidRPr="00000000">
        <w:rPr>
          <w:sz w:val="24"/>
          <w:szCs w:val="24"/>
        </w:rPr>
        <w:drawing>
          <wp:inline distB="114300" distT="114300" distL="114300" distR="114300">
            <wp:extent cx="1039667" cy="1474437"/>
            <wp:effectExtent b="0" l="0" r="0" t="0"/>
            <wp:docPr id="13" name="image8.png"/>
            <a:graphic>
              <a:graphicData uri="http://schemas.openxmlformats.org/drawingml/2006/picture">
                <pic:pic>
                  <pic:nvPicPr>
                    <pic:cNvPr id="0" name="image8.png"/>
                    <pic:cNvPicPr preferRelativeResize="0"/>
                  </pic:nvPicPr>
                  <pic:blipFill>
                    <a:blip r:embed="rId16"/>
                    <a:srcRect b="15237" l="37707" r="35880" t="18522"/>
                    <a:stretch>
                      <a:fillRect/>
                    </a:stretch>
                  </pic:blipFill>
                  <pic:spPr>
                    <a:xfrm>
                      <a:off x="0" y="0"/>
                      <a:ext cx="1039667" cy="1474437"/>
                    </a:xfrm>
                    <a:prstGeom prst="rect"/>
                    <a:ln/>
                  </pic:spPr>
                </pic:pic>
              </a:graphicData>
            </a:graphic>
          </wp:inline>
        </w:drawing>
      </w:r>
      <w:r w:rsidDel="00000000" w:rsidR="00000000" w:rsidRPr="00000000">
        <w:rPr>
          <w:sz w:val="24"/>
          <w:szCs w:val="24"/>
        </w:rPr>
        <w:drawing>
          <wp:inline distB="114300" distT="114300" distL="114300" distR="114300">
            <wp:extent cx="2547827" cy="1474437"/>
            <wp:effectExtent b="0" l="0" r="0" t="0"/>
            <wp:docPr id="10" name="image6.png"/>
            <a:graphic>
              <a:graphicData uri="http://schemas.openxmlformats.org/drawingml/2006/picture">
                <pic:pic>
                  <pic:nvPicPr>
                    <pic:cNvPr id="0" name="image6.png"/>
                    <pic:cNvPicPr preferRelativeResize="0"/>
                  </pic:nvPicPr>
                  <pic:blipFill>
                    <a:blip r:embed="rId17"/>
                    <a:srcRect b="16364" l="28239" r="0" t="9872"/>
                    <a:stretch>
                      <a:fillRect/>
                    </a:stretch>
                  </pic:blipFill>
                  <pic:spPr>
                    <a:xfrm>
                      <a:off x="0" y="0"/>
                      <a:ext cx="2547827" cy="1474437"/>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752475</wp:posOffset>
            </wp:positionH>
            <wp:positionV relativeFrom="paragraph">
              <wp:posOffset>400050</wp:posOffset>
            </wp:positionV>
            <wp:extent cx="628650" cy="190500"/>
            <wp:effectExtent b="0" l="0" r="0" t="0"/>
            <wp:wrapNone/>
            <wp:docPr id="6" name="image3.png"/>
            <a:graphic>
              <a:graphicData uri="http://schemas.openxmlformats.org/drawingml/2006/picture">
                <pic:pic>
                  <pic:nvPicPr>
                    <pic:cNvPr id="0" name="image3.png"/>
                    <pic:cNvPicPr preferRelativeResize="0"/>
                  </pic:nvPicPr>
                  <pic:blipFill>
                    <a:blip r:embed="rId18"/>
                    <a:srcRect b="-233333" l="10810" r="0" t="0"/>
                    <a:stretch>
                      <a:fillRect/>
                    </a:stretch>
                  </pic:blipFill>
                  <pic:spPr>
                    <a:xfrm>
                      <a:off x="0" y="0"/>
                      <a:ext cx="628650" cy="190500"/>
                    </a:xfrm>
                    <a:prstGeom prst="rect"/>
                    <a:ln/>
                  </pic:spPr>
                </pic:pic>
              </a:graphicData>
            </a:graphic>
          </wp:anchor>
        </w:drawing>
      </w:r>
    </w:p>
    <w:p w:rsidR="00000000" w:rsidDel="00000000" w:rsidP="00000000" w:rsidRDefault="00000000" w:rsidRPr="00000000" w14:paraId="0000005F">
      <w:pPr>
        <w:spacing w:before="0" w:lineRule="auto"/>
        <w:ind w:left="720" w:firstLine="0"/>
        <w:jc w:val="left"/>
        <w:rPr>
          <w:sz w:val="20"/>
          <w:szCs w:val="20"/>
        </w:rPr>
      </w:pPr>
      <w:r w:rsidDel="00000000" w:rsidR="00000000" w:rsidRPr="00000000">
        <w:rPr>
          <w:sz w:val="20"/>
          <w:szCs w:val="20"/>
          <w:rtl w:val="0"/>
        </w:rPr>
        <w:t xml:space="preserve">             (a)                   (b)                               (c) </w:t>
      </w:r>
    </w:p>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Figure 2.-(a) Experimental burette to obtain adequate results of the spent titrant. (b) Solution measured by the colorimetric technique once the color change has occurred. (c) Solution measured by the potentiometric technique once the equivalence point (pH 8.2) has been reached.</w:t>
      </w:r>
    </w:p>
    <w:p w:rsidR="00000000" w:rsidDel="00000000" w:rsidP="00000000" w:rsidRDefault="00000000" w:rsidRPr="00000000" w14:paraId="00000061">
      <w:pPr>
        <w:jc w:val="center"/>
        <w:rPr>
          <w:sz w:val="20"/>
          <w:szCs w:val="20"/>
        </w:rPr>
      </w:pPr>
      <w:r w:rsidDel="00000000" w:rsidR="00000000" w:rsidRPr="00000000">
        <w:rPr>
          <w:rtl w:val="0"/>
        </w:rPr>
      </w:r>
    </w:p>
    <w:p w:rsidR="00000000" w:rsidDel="00000000" w:rsidP="00000000" w:rsidRDefault="00000000" w:rsidRPr="00000000" w14:paraId="00000062">
      <w:pPr>
        <w:jc w:val="center"/>
        <w:rPr>
          <w:sz w:val="20"/>
          <w:szCs w:val="20"/>
        </w:rPr>
      </w:pPr>
      <w:r w:rsidDel="00000000" w:rsidR="00000000" w:rsidRPr="00000000">
        <w:rPr>
          <w:rtl w:val="0"/>
        </w:rPr>
      </w:r>
    </w:p>
    <w:p w:rsidR="00000000" w:rsidDel="00000000" w:rsidP="00000000" w:rsidRDefault="00000000" w:rsidRPr="00000000" w14:paraId="00000063">
      <w:pPr>
        <w:jc w:val="center"/>
        <w:rPr>
          <w:sz w:val="20"/>
          <w:szCs w:val="20"/>
        </w:rPr>
      </w:pPr>
      <w:r w:rsidDel="00000000" w:rsidR="00000000" w:rsidRPr="00000000">
        <w:rPr>
          <w:rtl w:val="0"/>
        </w:rPr>
      </w:r>
    </w:p>
    <w:p w:rsidR="00000000" w:rsidDel="00000000" w:rsidP="00000000" w:rsidRDefault="00000000" w:rsidRPr="00000000" w14:paraId="00000064">
      <w:pPr>
        <w:jc w:val="center"/>
        <w:rPr>
          <w:sz w:val="20"/>
          <w:szCs w:val="20"/>
        </w:rPr>
      </w:pPr>
      <w:r w:rsidDel="00000000" w:rsidR="00000000" w:rsidRPr="00000000">
        <w:rPr>
          <w:rtl w:val="0"/>
        </w:rPr>
      </w:r>
    </w:p>
    <w:p w:rsidR="00000000" w:rsidDel="00000000" w:rsidP="00000000" w:rsidRDefault="00000000" w:rsidRPr="00000000" w14:paraId="00000065">
      <w:pPr>
        <w:jc w:val="center"/>
        <w:rPr>
          <w:sz w:val="20"/>
          <w:szCs w:val="20"/>
        </w:rPr>
      </w:pPr>
      <w:r w:rsidDel="00000000" w:rsidR="00000000" w:rsidRPr="00000000">
        <w:rPr>
          <w:rtl w:val="0"/>
        </w:rPr>
      </w:r>
    </w:p>
    <w:p w:rsidR="00000000" w:rsidDel="00000000" w:rsidP="00000000" w:rsidRDefault="00000000" w:rsidRPr="00000000" w14:paraId="00000066">
      <w:pPr>
        <w:jc w:val="left"/>
        <w:rPr>
          <w:sz w:val="20"/>
          <w:szCs w:val="20"/>
        </w:rPr>
      </w:pPr>
      <w:r w:rsidDel="00000000" w:rsidR="00000000" w:rsidRPr="00000000">
        <w:rPr>
          <w:rtl w:val="0"/>
        </w:rPr>
      </w:r>
    </w:p>
    <w:tbl>
      <w:tblPr>
        <w:tblStyle w:val="Table7"/>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67">
            <w:pPr>
              <w:pStyle w:val="Heading1"/>
              <w:spacing w:after="0" w:before="0" w:lineRule="auto"/>
              <w:jc w:val="center"/>
              <w:rPr>
                <w:b w:val="1"/>
                <w:color w:val="ffffff"/>
                <w:sz w:val="36"/>
                <w:szCs w:val="36"/>
              </w:rPr>
            </w:pPr>
            <w:bookmarkStart w:colFirst="0" w:colLast="0" w:name="_3kmddodp8bhl" w:id="5"/>
            <w:bookmarkEnd w:id="5"/>
            <w:r w:rsidDel="00000000" w:rsidR="00000000" w:rsidRPr="00000000">
              <w:rPr>
                <w:b w:val="1"/>
                <w:color w:val="ffffff"/>
                <w:sz w:val="36"/>
                <w:szCs w:val="36"/>
                <w:rtl w:val="0"/>
              </w:rPr>
              <w:t xml:space="preserve">Results</w:t>
            </w:r>
          </w:p>
        </w:tc>
      </w:tr>
    </w:tbl>
    <w:p w:rsidR="00000000" w:rsidDel="00000000" w:rsidP="00000000" w:rsidRDefault="00000000" w:rsidRPr="00000000" w14:paraId="00000068">
      <w:pPr>
        <w:spacing w:after="200" w:before="200" w:lineRule="auto"/>
        <w:jc w:val="both"/>
        <w:rPr>
          <w:sz w:val="24"/>
          <w:szCs w:val="24"/>
        </w:rPr>
      </w:pPr>
      <w:r w:rsidDel="00000000" w:rsidR="00000000" w:rsidRPr="00000000">
        <w:rPr>
          <w:sz w:val="24"/>
          <w:szCs w:val="24"/>
          <w:rtl w:val="0"/>
        </w:rPr>
        <w:t xml:space="preserve">This section can be carried out with other colleagues, but it is advisable to work in pairs. In order to minimize the experimental error and to obtain accurate results, it would be appropriate that the same person performs the titration of the three samples for the same concentration of titrant. </w:t>
      </w:r>
    </w:p>
    <w:p w:rsidR="00000000" w:rsidDel="00000000" w:rsidP="00000000" w:rsidRDefault="00000000" w:rsidRPr="00000000" w14:paraId="00000069">
      <w:pPr>
        <w:spacing w:after="200" w:before="200" w:lineRule="auto"/>
        <w:jc w:val="both"/>
        <w:rPr>
          <w:sz w:val="24"/>
          <w:szCs w:val="24"/>
        </w:rPr>
      </w:pPr>
      <w:r w:rsidDel="00000000" w:rsidR="00000000" w:rsidRPr="00000000">
        <w:rPr>
          <w:sz w:val="24"/>
          <w:szCs w:val="24"/>
          <w:rtl w:val="0"/>
        </w:rPr>
        <w:t xml:space="preserve">First, it collects in Table 1 the experimentally obtained results of the spent volume of titrant (NaOH) and the pH at the moment when the solution changes from colorless to pinkish.</w:t>
      </w:r>
    </w:p>
    <w:p w:rsidR="00000000" w:rsidDel="00000000" w:rsidP="00000000" w:rsidRDefault="00000000" w:rsidRPr="00000000" w14:paraId="0000006A">
      <w:pPr>
        <w:spacing w:line="276" w:lineRule="auto"/>
        <w:jc w:val="both"/>
        <w:rPr>
          <w:i w:val="1"/>
          <w:sz w:val="20"/>
          <w:szCs w:val="20"/>
          <w:highlight w:val="yellow"/>
        </w:rPr>
      </w:pPr>
      <w:r w:rsidDel="00000000" w:rsidR="00000000" w:rsidRPr="00000000">
        <w:rPr>
          <w:b w:val="1"/>
          <w:sz w:val="20"/>
          <w:szCs w:val="20"/>
          <w:rtl w:val="0"/>
        </w:rPr>
        <w:t xml:space="preserve">NOTE: </w:t>
      </w:r>
      <w:r w:rsidDel="00000000" w:rsidR="00000000" w:rsidRPr="00000000">
        <w:rPr>
          <w:i w:val="1"/>
          <w:sz w:val="20"/>
          <w:szCs w:val="20"/>
          <w:rtl w:val="0"/>
        </w:rPr>
        <w:t xml:space="preserve">The volumes determined by the colorimetric technique can be variable, since it is an inaccurate technique that depends on the human factor. In the potentiometric technique there may be fluctuations in the signal, due to a bad calibration of the pH sensor.</w:t>
      </w:r>
      <w:r w:rsidDel="00000000" w:rsidR="00000000" w:rsidRPr="00000000">
        <w:rPr>
          <w:rtl w:val="0"/>
        </w:rPr>
      </w:r>
    </w:p>
    <w:p w:rsidR="00000000" w:rsidDel="00000000" w:rsidP="00000000" w:rsidRDefault="00000000" w:rsidRPr="00000000" w14:paraId="0000006B">
      <w:pPr>
        <w:spacing w:after="200" w:before="200" w:lineRule="auto"/>
        <w:jc w:val="both"/>
        <w:rPr>
          <w:sz w:val="20"/>
          <w:szCs w:val="20"/>
        </w:rPr>
      </w:pPr>
      <w:r w:rsidDel="00000000" w:rsidR="00000000" w:rsidRPr="00000000">
        <w:rPr>
          <w:sz w:val="20"/>
          <w:szCs w:val="20"/>
          <w:rtl w:val="0"/>
        </w:rPr>
        <w:t xml:space="preserve">Table 1.- Volumes of spent titrant and pH obtained using the remote laboratory Acid-base titration II both potentiometric and colorimetric techniques.</w:t>
      </w:r>
      <w:r w:rsidDel="00000000" w:rsidR="00000000" w:rsidRPr="00000000">
        <w:rPr>
          <w:sz w:val="20"/>
          <w:szCs w:val="20"/>
          <w:rtl w:val="0"/>
        </w:rPr>
        <w:t xml:space="preserve">  </w:t>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Techniques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Potentiometry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Colorimetry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Titrants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[NaOH] 0.151M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pPr>
            <w:r w:rsidDel="00000000" w:rsidR="00000000" w:rsidRPr="00000000">
              <w:rPr>
                <w:rtl w:val="0"/>
              </w:rPr>
              <w:t xml:space="preserve">[NaOH] 0.244 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pPr>
            <w:r w:rsidDel="00000000" w:rsidR="00000000" w:rsidRPr="00000000">
              <w:rPr>
                <w:rtl w:val="0"/>
              </w:rPr>
              <w:t xml:space="preserve">[NaOH] 0.151M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pPr>
            <w:r w:rsidDel="00000000" w:rsidR="00000000" w:rsidRPr="00000000">
              <w:rPr>
                <w:rtl w:val="0"/>
              </w:rPr>
              <w:t xml:space="preserve">[NaOH] 0.244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pPr>
            <w:r w:rsidDel="00000000" w:rsidR="00000000" w:rsidRPr="00000000">
              <w:rPr>
                <w:rtl w:val="0"/>
              </w:rPr>
              <w:t xml:space="preserve">V </w:t>
            </w:r>
            <w:r w:rsidDel="00000000" w:rsidR="00000000" w:rsidRPr="00000000">
              <w:rPr>
                <w:vertAlign w:val="subscript"/>
                <w:rtl w:val="0"/>
              </w:rPr>
              <w:t xml:space="preserve">Sample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pPr>
            <w:r w:rsidDel="00000000" w:rsidR="00000000" w:rsidRPr="00000000">
              <w:rPr>
                <w:rtl w:val="0"/>
              </w:rPr>
              <w:t xml:space="preserve">V </w:t>
            </w:r>
            <w:r w:rsidDel="00000000" w:rsidR="00000000" w:rsidRPr="00000000">
              <w:rPr>
                <w:vertAlign w:val="subscript"/>
                <w:rtl w:val="0"/>
              </w:rPr>
              <w:t xml:space="preserve">Sample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pPr>
            <w:r w:rsidDel="00000000" w:rsidR="00000000" w:rsidRPr="00000000">
              <w:rPr>
                <w:rtl w:val="0"/>
              </w:rPr>
              <w:t xml:space="preserve">V </w:t>
            </w:r>
            <w:r w:rsidDel="00000000" w:rsidR="00000000" w:rsidRPr="00000000">
              <w:rPr>
                <w:vertAlign w:val="subscript"/>
                <w:rtl w:val="0"/>
              </w:rPr>
              <w:t xml:space="preserve">Sample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bl>
    <w:p w:rsidR="00000000" w:rsidDel="00000000" w:rsidP="00000000" w:rsidRDefault="00000000" w:rsidRPr="00000000" w14:paraId="00000085">
      <w:pPr>
        <w:spacing w:after="200" w:before="200" w:lineRule="auto"/>
        <w:jc w:val="both"/>
        <w:rPr>
          <w:sz w:val="24"/>
          <w:szCs w:val="24"/>
        </w:rPr>
      </w:pPr>
      <w:r w:rsidDel="00000000" w:rsidR="00000000" w:rsidRPr="00000000">
        <w:rPr>
          <w:sz w:val="24"/>
          <w:szCs w:val="24"/>
          <w:rtl w:val="0"/>
        </w:rPr>
        <w:t xml:space="preserve">Next, Equation 1 is used, taking into account that the volume of the unknown solution to be titrated is 10 mL, and the </w:t>
      </w:r>
      <w:r w:rsidDel="00000000" w:rsidR="00000000" w:rsidRPr="00000000">
        <w:rPr>
          <w:b w:val="1"/>
          <w:sz w:val="24"/>
          <w:szCs w:val="24"/>
          <w:rtl w:val="0"/>
        </w:rPr>
        <w:t xml:space="preserve">concentration is determined</w:t>
      </w:r>
      <w:r w:rsidDel="00000000" w:rsidR="00000000" w:rsidRPr="00000000">
        <w:rPr>
          <w:sz w:val="24"/>
          <w:szCs w:val="24"/>
          <w:rtl w:val="0"/>
        </w:rPr>
        <w:t xml:space="preserve"> (write the results obtained in Table 2) for each volume in Table 1.</w:t>
      </w:r>
    </w:p>
    <w:p w:rsidR="00000000" w:rsidDel="00000000" w:rsidP="00000000" w:rsidRDefault="00000000" w:rsidRPr="00000000" w14:paraId="00000086">
      <w:pPr>
        <w:spacing w:after="200" w:before="200" w:lineRule="auto"/>
        <w:jc w:val="both"/>
        <w:rPr>
          <w:sz w:val="20"/>
          <w:szCs w:val="20"/>
        </w:rPr>
      </w:pPr>
      <w:r w:rsidDel="00000000" w:rsidR="00000000" w:rsidRPr="00000000">
        <w:rPr>
          <w:sz w:val="20"/>
          <w:szCs w:val="20"/>
          <w:rtl w:val="0"/>
        </w:rPr>
        <w:t xml:space="preserve">Table 2.- Concentration of samples determined from the volumes in Table 1 and using Equation 1. </w:t>
      </w:r>
      <w:r w:rsidDel="00000000" w:rsidR="00000000" w:rsidRPr="00000000">
        <w:rPr>
          <w:sz w:val="20"/>
          <w:szCs w:val="20"/>
          <w:rtl w:val="0"/>
        </w:rPr>
        <w:t xml:space="preserve"> </w:t>
      </w: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pPr>
            <w:r w:rsidDel="00000000" w:rsidR="00000000" w:rsidRPr="00000000">
              <w:rPr>
                <w:rtl w:val="0"/>
              </w:rPr>
              <w:t xml:space="preserve">Techniques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pPr>
            <w:r w:rsidDel="00000000" w:rsidR="00000000" w:rsidRPr="00000000">
              <w:rPr>
                <w:rtl w:val="0"/>
              </w:rPr>
              <w:t xml:space="preserve">Potentiometry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pPr>
            <w:r w:rsidDel="00000000" w:rsidR="00000000" w:rsidRPr="00000000">
              <w:rPr>
                <w:rtl w:val="0"/>
              </w:rPr>
              <w:t xml:space="preserve">Colorimetry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pPr>
            <w:r w:rsidDel="00000000" w:rsidR="00000000" w:rsidRPr="00000000">
              <w:rPr>
                <w:rtl w:val="0"/>
              </w:rPr>
              <w:t xml:space="preserve">Titrants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pPr>
            <w:r w:rsidDel="00000000" w:rsidR="00000000" w:rsidRPr="00000000">
              <w:rPr>
                <w:rtl w:val="0"/>
              </w:rPr>
              <w:t xml:space="preserve">[NaOH] 0.151M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pPr>
            <w:r w:rsidDel="00000000" w:rsidR="00000000" w:rsidRPr="00000000">
              <w:rPr>
                <w:rtl w:val="0"/>
              </w:rPr>
              <w:t xml:space="preserve">[NaOH] 0.244 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pPr>
            <w:r w:rsidDel="00000000" w:rsidR="00000000" w:rsidRPr="00000000">
              <w:rPr>
                <w:rtl w:val="0"/>
              </w:rPr>
              <w:t xml:space="preserve">[NaOH] 0.151M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pPr>
            <w:r w:rsidDel="00000000" w:rsidR="00000000" w:rsidRPr="00000000">
              <w:rPr>
                <w:rtl w:val="0"/>
              </w:rPr>
              <w:t xml:space="preserve">[NaOH] 0.244 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vertAlign w:val="subscript"/>
              </w:rPr>
            </w:pPr>
            <w:r w:rsidDel="00000000" w:rsidR="00000000" w:rsidRPr="00000000">
              <w:rPr>
                <w:rtl w:val="0"/>
              </w:rPr>
              <w:t xml:space="preserve">C </w:t>
            </w:r>
            <w:r w:rsidDel="00000000" w:rsidR="00000000" w:rsidRPr="00000000">
              <w:rPr>
                <w:vertAlign w:val="subscript"/>
                <w:rtl w:val="0"/>
              </w:rPr>
              <w:t xml:space="preserve">Sample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pPr>
            <w:r w:rsidDel="00000000" w:rsidR="00000000" w:rsidRPr="00000000">
              <w:rPr>
                <w:rtl w:val="0"/>
              </w:rPr>
              <w:t xml:space="preserve">C </w:t>
            </w:r>
            <w:r w:rsidDel="00000000" w:rsidR="00000000" w:rsidRPr="00000000">
              <w:rPr>
                <w:vertAlign w:val="subscript"/>
                <w:rtl w:val="0"/>
              </w:rPr>
              <w:t xml:space="preserve">Sample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pPr>
            <w:r w:rsidDel="00000000" w:rsidR="00000000" w:rsidRPr="00000000">
              <w:rPr>
                <w:rtl w:val="0"/>
              </w:rPr>
              <w:t xml:space="preserve">C </w:t>
            </w:r>
            <w:r w:rsidDel="00000000" w:rsidR="00000000" w:rsidRPr="00000000">
              <w:rPr>
                <w:vertAlign w:val="subscript"/>
                <w:rtl w:val="0"/>
              </w:rPr>
              <w:t xml:space="preserve">Sample 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sz w:val="20"/>
                <w:szCs w:val="20"/>
              </w:rPr>
            </w:pPr>
            <w:r w:rsidDel="00000000" w:rsidR="00000000" w:rsidRPr="00000000">
              <w:rPr>
                <w:rtl w:val="0"/>
              </w:rPr>
            </w:r>
          </w:p>
        </w:tc>
      </w:tr>
    </w:tbl>
    <w:p w:rsidR="00000000" w:rsidDel="00000000" w:rsidP="00000000" w:rsidRDefault="00000000" w:rsidRPr="00000000" w14:paraId="000000A0">
      <w:pPr>
        <w:spacing w:after="200" w:before="200" w:lineRule="auto"/>
        <w:jc w:val="both"/>
        <w:rPr>
          <w:sz w:val="24"/>
          <w:szCs w:val="24"/>
        </w:rPr>
      </w:pPr>
      <w:r w:rsidDel="00000000" w:rsidR="00000000" w:rsidRPr="00000000">
        <w:rPr>
          <w:sz w:val="24"/>
          <w:szCs w:val="24"/>
          <w:rtl w:val="0"/>
        </w:rPr>
        <w:t xml:space="preserve">Once the concentration of each sample for the different titrants has been determined, the following questions are answered in the next section of the activity.  </w:t>
      </w:r>
    </w:p>
    <w:p w:rsidR="00000000" w:rsidDel="00000000" w:rsidP="00000000" w:rsidRDefault="00000000" w:rsidRPr="00000000" w14:paraId="000000A1">
      <w:pPr>
        <w:spacing w:after="200" w:before="200" w:lineRule="auto"/>
        <w:jc w:val="both"/>
        <w:rPr>
          <w:sz w:val="24"/>
          <w:szCs w:val="24"/>
        </w:rPr>
      </w:pPr>
      <w:r w:rsidDel="00000000" w:rsidR="00000000" w:rsidRPr="00000000">
        <w:rPr>
          <w:rtl w:val="0"/>
        </w:rPr>
      </w:r>
    </w:p>
    <w:p w:rsidR="00000000" w:rsidDel="00000000" w:rsidP="00000000" w:rsidRDefault="00000000" w:rsidRPr="00000000" w14:paraId="000000A2">
      <w:pPr>
        <w:spacing w:after="200" w:before="200" w:lineRule="auto"/>
        <w:jc w:val="both"/>
        <w:rPr>
          <w:sz w:val="24"/>
          <w:szCs w:val="24"/>
        </w:rPr>
      </w:pPr>
      <w:r w:rsidDel="00000000" w:rsidR="00000000" w:rsidRPr="00000000">
        <w:rPr>
          <w:rtl w:val="0"/>
        </w:rPr>
      </w:r>
    </w:p>
    <w:p w:rsidR="00000000" w:rsidDel="00000000" w:rsidP="00000000" w:rsidRDefault="00000000" w:rsidRPr="00000000" w14:paraId="000000A3">
      <w:pPr>
        <w:spacing w:after="200" w:before="200" w:lineRule="auto"/>
        <w:jc w:val="both"/>
        <w:rPr>
          <w:sz w:val="24"/>
          <w:szCs w:val="24"/>
        </w:rPr>
      </w:pPr>
      <w:r w:rsidDel="00000000" w:rsidR="00000000" w:rsidRPr="00000000">
        <w:rPr>
          <w:rtl w:val="0"/>
        </w:rPr>
      </w:r>
    </w:p>
    <w:tbl>
      <w:tblPr>
        <w:tblStyle w:val="Table10"/>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A4">
            <w:pPr>
              <w:pStyle w:val="Heading1"/>
              <w:spacing w:after="0" w:before="0" w:lineRule="auto"/>
              <w:jc w:val="center"/>
              <w:rPr>
                <w:b w:val="1"/>
                <w:color w:val="ffffff"/>
                <w:sz w:val="36"/>
                <w:szCs w:val="36"/>
              </w:rPr>
            </w:pPr>
            <w:bookmarkStart w:colFirst="0" w:colLast="0" w:name="_y8brvyfkf518" w:id="6"/>
            <w:bookmarkEnd w:id="6"/>
            <w:r w:rsidDel="00000000" w:rsidR="00000000" w:rsidRPr="00000000">
              <w:rPr>
                <w:b w:val="1"/>
                <w:color w:val="ffffff"/>
                <w:sz w:val="36"/>
                <w:szCs w:val="36"/>
                <w:rtl w:val="0"/>
              </w:rPr>
              <w:t xml:space="preserve">Questions</w:t>
            </w:r>
          </w:p>
        </w:tc>
      </w:tr>
    </w:tbl>
    <w:p w:rsidR="00000000" w:rsidDel="00000000" w:rsidP="00000000" w:rsidRDefault="00000000" w:rsidRPr="00000000" w14:paraId="000000A5">
      <w:pPr>
        <w:numPr>
          <w:ilvl w:val="0"/>
          <w:numId w:val="2"/>
        </w:numPr>
        <w:spacing w:after="200" w:before="200" w:lineRule="auto"/>
        <w:ind w:left="720" w:hanging="360"/>
        <w:jc w:val="both"/>
        <w:rPr>
          <w:sz w:val="24"/>
          <w:szCs w:val="24"/>
          <w:u w:val="none"/>
        </w:rPr>
      </w:pPr>
      <w:r w:rsidDel="00000000" w:rsidR="00000000" w:rsidRPr="00000000">
        <w:rPr>
          <w:sz w:val="24"/>
          <w:szCs w:val="24"/>
          <w:rtl w:val="0"/>
        </w:rPr>
        <w:t xml:space="preserve">Do the three different samples provided by the laboratory contain the same concentration or do they have different concentrations? Which sample has the highest concentration and which has the lowest?</w:t>
      </w:r>
      <w:r w:rsidDel="00000000" w:rsidR="00000000" w:rsidRPr="00000000">
        <w:rPr>
          <w:rtl w:val="0"/>
        </w:rPr>
      </w:r>
    </w:p>
    <w:p w:rsidR="00000000" w:rsidDel="00000000" w:rsidP="00000000" w:rsidRDefault="00000000" w:rsidRPr="00000000" w14:paraId="000000A6">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Response and justification:</w:t>
      </w:r>
    </w:p>
    <w:p w:rsidR="00000000" w:rsidDel="00000000" w:rsidP="00000000" w:rsidRDefault="00000000" w:rsidRPr="00000000" w14:paraId="000000A7">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A8">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A9">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AA">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AB">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AC">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AD">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AE">
      <w:pPr>
        <w:spacing w:after="200" w:before="200" w:lineRule="auto"/>
        <w:ind w:left="0" w:firstLine="0"/>
        <w:jc w:val="both"/>
        <w:rPr>
          <w:sz w:val="24"/>
          <w:szCs w:val="24"/>
        </w:rPr>
      </w:pPr>
      <w:r w:rsidDel="00000000" w:rsidR="00000000" w:rsidRPr="00000000">
        <w:rPr>
          <w:rtl w:val="0"/>
        </w:rPr>
      </w:r>
    </w:p>
    <w:p w:rsidR="00000000" w:rsidDel="00000000" w:rsidP="00000000" w:rsidRDefault="00000000" w:rsidRPr="00000000" w14:paraId="000000AF">
      <w:pPr>
        <w:numPr>
          <w:ilvl w:val="0"/>
          <w:numId w:val="2"/>
        </w:numPr>
        <w:spacing w:after="200" w:before="200" w:lineRule="auto"/>
        <w:ind w:left="720" w:hanging="360"/>
        <w:jc w:val="both"/>
        <w:rPr>
          <w:sz w:val="24"/>
          <w:szCs w:val="24"/>
          <w:u w:val="none"/>
        </w:rPr>
      </w:pPr>
      <w:r w:rsidDel="00000000" w:rsidR="00000000" w:rsidRPr="00000000">
        <w:rPr>
          <w:sz w:val="24"/>
          <w:szCs w:val="24"/>
          <w:rtl w:val="0"/>
        </w:rPr>
        <w:t xml:space="preserve">Is the concentration of the unknown sample (the analyte) influenced by the concentration of the titrant, </w:t>
      </w:r>
      <w:r w:rsidDel="00000000" w:rsidR="00000000" w:rsidRPr="00000000">
        <w:rPr>
          <w:sz w:val="24"/>
          <w:szCs w:val="24"/>
          <w:rtl w:val="0"/>
        </w:rPr>
        <w:t xml:space="preserve">i.e.</w:t>
      </w:r>
      <w:r w:rsidDel="00000000" w:rsidR="00000000" w:rsidRPr="00000000">
        <w:rPr>
          <w:sz w:val="24"/>
          <w:szCs w:val="24"/>
          <w:rtl w:val="0"/>
        </w:rPr>
        <w:t xml:space="preserve">, is there an increase or decrease in the concentration of the sample when titrating with a titrant of higher or lower concentration, and is there any change in the volume of titrant spent when using titrants of different concentrations?</w:t>
      </w:r>
    </w:p>
    <w:p w:rsidR="00000000" w:rsidDel="00000000" w:rsidP="00000000" w:rsidRDefault="00000000" w:rsidRPr="00000000" w14:paraId="000000B0">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Response and justification:</w:t>
      </w:r>
    </w:p>
    <w:p w:rsidR="00000000" w:rsidDel="00000000" w:rsidP="00000000" w:rsidRDefault="00000000" w:rsidRPr="00000000" w14:paraId="000000B1">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B2">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B3">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B4">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B5">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B6">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B7">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B8">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B9">
      <w:pPr>
        <w:spacing w:after="200" w:before="200" w:lineRule="auto"/>
        <w:ind w:left="0" w:firstLine="0"/>
        <w:jc w:val="both"/>
        <w:rPr>
          <w:sz w:val="24"/>
          <w:szCs w:val="24"/>
        </w:rPr>
      </w:pPr>
      <w:r w:rsidDel="00000000" w:rsidR="00000000" w:rsidRPr="00000000">
        <w:rPr>
          <w:rtl w:val="0"/>
        </w:rPr>
      </w:r>
    </w:p>
    <w:p w:rsidR="00000000" w:rsidDel="00000000" w:rsidP="00000000" w:rsidRDefault="00000000" w:rsidRPr="00000000" w14:paraId="000000BA">
      <w:pPr>
        <w:numPr>
          <w:ilvl w:val="0"/>
          <w:numId w:val="2"/>
        </w:numPr>
        <w:spacing w:after="200" w:before="200" w:lineRule="auto"/>
        <w:ind w:left="720" w:hanging="360"/>
        <w:jc w:val="both"/>
        <w:rPr>
          <w:sz w:val="24"/>
          <w:szCs w:val="24"/>
          <w:u w:val="none"/>
        </w:rPr>
      </w:pPr>
      <w:r w:rsidDel="00000000" w:rsidR="00000000" w:rsidRPr="00000000">
        <w:rPr>
          <w:sz w:val="24"/>
          <w:szCs w:val="24"/>
          <w:rtl w:val="0"/>
        </w:rPr>
        <w:t xml:space="preserve">Which technique is more precise, i.e. measures the equivalence point more accurately? Potentiometry or colorimetry?</w:t>
      </w:r>
    </w:p>
    <w:p w:rsidR="00000000" w:rsidDel="00000000" w:rsidP="00000000" w:rsidRDefault="00000000" w:rsidRPr="00000000" w14:paraId="000000BB">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sz w:val="24"/>
          <w:szCs w:val="24"/>
          <w:rtl w:val="0"/>
        </w:rPr>
        <w:t xml:space="preserve">Response and justification:</w:t>
      </w:r>
      <w:r w:rsidDel="00000000" w:rsidR="00000000" w:rsidRPr="00000000">
        <w:rPr>
          <w:rtl w:val="0"/>
        </w:rPr>
      </w:r>
    </w:p>
    <w:p w:rsidR="00000000" w:rsidDel="00000000" w:rsidP="00000000" w:rsidRDefault="00000000" w:rsidRPr="00000000" w14:paraId="000000BC">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BD">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BE">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BF">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0">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1">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2">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3">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4">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5">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6">
      <w:pPr>
        <w:pBdr>
          <w:top w:color="000000" w:space="1" w:sz="8" w:val="single"/>
          <w:left w:color="000000" w:space="4" w:sz="8" w:val="single"/>
          <w:bottom w:color="000000" w:space="1" w:sz="8" w:val="single"/>
          <w:right w:color="000000" w:space="4" w:sz="8" w:val="single"/>
        </w:pBdr>
        <w:spacing w:after="200" w:line="276" w:lineRule="auto"/>
        <w:rPr/>
      </w:pPr>
      <w:r w:rsidDel="00000000" w:rsidR="00000000" w:rsidRPr="00000000">
        <w:rPr>
          <w:rtl w:val="0"/>
        </w:rPr>
      </w:r>
    </w:p>
    <w:p w:rsidR="00000000" w:rsidDel="00000000" w:rsidP="00000000" w:rsidRDefault="00000000" w:rsidRPr="00000000" w14:paraId="000000C7">
      <w:pPr>
        <w:spacing w:after="200" w:before="200" w:lineRule="auto"/>
        <w:ind w:left="0" w:firstLine="0"/>
        <w:jc w:val="both"/>
        <w:rPr>
          <w:sz w:val="24"/>
          <w:szCs w:val="24"/>
        </w:rPr>
      </w:pPr>
      <w:r w:rsidDel="00000000" w:rsidR="00000000" w:rsidRPr="00000000">
        <w:rPr>
          <w:rtl w:val="0"/>
        </w:rPr>
      </w:r>
    </w:p>
    <w:p w:rsidR="00000000" w:rsidDel="00000000" w:rsidP="00000000" w:rsidRDefault="00000000" w:rsidRPr="00000000" w14:paraId="000000C8">
      <w:pPr>
        <w:numPr>
          <w:ilvl w:val="0"/>
          <w:numId w:val="2"/>
        </w:numPr>
        <w:spacing w:after="200" w:before="200" w:lineRule="auto"/>
        <w:ind w:left="720" w:hanging="360"/>
        <w:jc w:val="both"/>
        <w:rPr>
          <w:sz w:val="24"/>
          <w:szCs w:val="24"/>
          <w:u w:val="none"/>
        </w:rPr>
      </w:pPr>
      <w:r w:rsidDel="00000000" w:rsidR="00000000" w:rsidRPr="00000000">
        <w:rPr>
          <w:sz w:val="24"/>
          <w:szCs w:val="24"/>
          <w:rtl w:val="0"/>
        </w:rPr>
        <w:t xml:space="preserve">Knowing that the turning point of this acid-base titration is at pH 8.2, what do you think is the indicator used in this experiment? Use of the following link which takes you to a table of the most commonly used acid-base indicators </w:t>
      </w:r>
      <w:hyperlink r:id="rId19">
        <w:r w:rsidDel="00000000" w:rsidR="00000000" w:rsidRPr="00000000">
          <w:rPr>
            <w:color w:val="1155cc"/>
            <w:sz w:val="24"/>
            <w:szCs w:val="24"/>
            <w:u w:val="single"/>
            <w:rtl w:val="0"/>
          </w:rPr>
          <w:t xml:space="preserve">http://www.vaxasoftware.com/doc_edu/qui/indic.pdf</w:t>
        </w:r>
      </w:hyperlink>
      <w:r w:rsidDel="00000000" w:rsidR="00000000" w:rsidRPr="00000000">
        <w:rPr>
          <w:rtl w:val="0"/>
        </w:rPr>
      </w:r>
    </w:p>
    <w:p w:rsidR="00000000" w:rsidDel="00000000" w:rsidP="00000000" w:rsidRDefault="00000000" w:rsidRPr="00000000" w14:paraId="000000C9">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sz w:val="24"/>
          <w:szCs w:val="24"/>
          <w:rtl w:val="0"/>
        </w:rPr>
        <w:t xml:space="preserve">Response and justification:</w:t>
      </w:r>
    </w:p>
    <w:p w:rsidR="00000000" w:rsidDel="00000000" w:rsidP="00000000" w:rsidRDefault="00000000" w:rsidRPr="00000000" w14:paraId="000000CA">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CB">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CC">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CD">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CE">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CF">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D0">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D1">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D2">
      <w:pPr>
        <w:pBdr>
          <w:top w:color="000000" w:space="1" w:sz="8" w:val="single"/>
          <w:left w:color="000000" w:space="4" w:sz="8" w:val="single"/>
          <w:bottom w:color="000000" w:space="1" w:sz="8" w:val="single"/>
          <w:right w:color="000000" w:space="4" w:sz="8" w:val="single"/>
        </w:pBdr>
        <w:spacing w:after="200" w:line="276" w:lineRule="auto"/>
        <w:rPr>
          <w:sz w:val="24"/>
          <w:szCs w:val="24"/>
        </w:rPr>
      </w:pPr>
      <w:r w:rsidDel="00000000" w:rsidR="00000000" w:rsidRPr="00000000">
        <w:rPr>
          <w:rtl w:val="0"/>
        </w:rPr>
      </w:r>
    </w:p>
    <w:p w:rsidR="00000000" w:rsidDel="00000000" w:rsidP="00000000" w:rsidRDefault="00000000" w:rsidRPr="00000000" w14:paraId="000000D3">
      <w:pPr>
        <w:spacing w:after="200" w:before="200" w:lineRule="auto"/>
        <w:rPr>
          <w:sz w:val="24"/>
          <w:szCs w:val="24"/>
        </w:rPr>
      </w:pPr>
      <w:r w:rsidDel="00000000" w:rsidR="00000000" w:rsidRPr="00000000">
        <w:rPr>
          <w:rtl w:val="0"/>
        </w:rPr>
      </w:r>
    </w:p>
    <w:tbl>
      <w:tblPr>
        <w:tblStyle w:val="Table11"/>
        <w:tblW w:w="9029.0" w:type="dxa"/>
        <w:jc w:val="left"/>
        <w:tblLayout w:type="fixed"/>
        <w:tblLook w:val="0600"/>
      </w:tblPr>
      <w:tblGrid>
        <w:gridCol w:w="9029"/>
        <w:tblGridChange w:id="0">
          <w:tblGrid>
            <w:gridCol w:w="9029"/>
          </w:tblGrid>
        </w:tblGridChange>
      </w:tblGrid>
      <w:tr>
        <w:trPr>
          <w:cantSplit w:val="0"/>
          <w:tblHeader w:val="0"/>
        </w:trPr>
        <w:tc>
          <w:tcPr>
            <w:shd w:fill="6aa84f" w:val="clear"/>
            <w:tcMar>
              <w:top w:w="-13.606299212598428" w:type="dxa"/>
              <w:left w:w="-13.606299212598428" w:type="dxa"/>
              <w:bottom w:w="-13.606299212598428" w:type="dxa"/>
              <w:right w:w="-13.606299212598428" w:type="dxa"/>
            </w:tcMar>
            <w:vAlign w:val="top"/>
          </w:tcPr>
          <w:p w:rsidR="00000000" w:rsidDel="00000000" w:rsidP="00000000" w:rsidRDefault="00000000" w:rsidRPr="00000000" w14:paraId="000000D4">
            <w:pPr>
              <w:pStyle w:val="Heading1"/>
              <w:spacing w:after="0" w:before="0" w:lineRule="auto"/>
              <w:jc w:val="center"/>
              <w:rPr>
                <w:b w:val="1"/>
                <w:color w:val="ffffff"/>
                <w:sz w:val="36"/>
                <w:szCs w:val="36"/>
              </w:rPr>
            </w:pPr>
            <w:bookmarkStart w:colFirst="0" w:colLast="0" w:name="_khk6mzd90u80" w:id="7"/>
            <w:bookmarkEnd w:id="7"/>
            <w:r w:rsidDel="00000000" w:rsidR="00000000" w:rsidRPr="00000000">
              <w:rPr>
                <w:b w:val="1"/>
                <w:color w:val="ffffff"/>
                <w:sz w:val="36"/>
                <w:szCs w:val="36"/>
                <w:rtl w:val="0"/>
              </w:rPr>
              <w:t xml:space="preserve">Bibliography</w:t>
            </w:r>
          </w:p>
        </w:tc>
      </w:tr>
    </w:tbl>
    <w:p w:rsidR="00000000" w:rsidDel="00000000" w:rsidP="00000000" w:rsidRDefault="00000000" w:rsidRPr="00000000" w14:paraId="000000D5">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D6">
      <w:pPr>
        <w:numPr>
          <w:ilvl w:val="0"/>
          <w:numId w:val="3"/>
        </w:numPr>
        <w:spacing w:line="360" w:lineRule="auto"/>
        <w:ind w:left="720" w:hanging="360"/>
        <w:rPr>
          <w:sz w:val="24"/>
          <w:szCs w:val="24"/>
          <w:u w:val="none"/>
        </w:rPr>
      </w:pPr>
      <w:r w:rsidDel="00000000" w:rsidR="00000000" w:rsidRPr="00000000">
        <w:rPr>
          <w:sz w:val="24"/>
          <w:szCs w:val="24"/>
          <w:rtl w:val="0"/>
        </w:rPr>
        <w:t xml:space="preserve">Gary, D.C. (2009). </w:t>
      </w:r>
      <w:r w:rsidDel="00000000" w:rsidR="00000000" w:rsidRPr="00000000">
        <w:rPr>
          <w:i w:val="1"/>
          <w:sz w:val="24"/>
          <w:szCs w:val="24"/>
          <w:rtl w:val="0"/>
        </w:rPr>
        <w:t xml:space="preserve">Química Analítica</w:t>
      </w:r>
      <w:r w:rsidDel="00000000" w:rsidR="00000000" w:rsidRPr="00000000">
        <w:rPr>
          <w:sz w:val="24"/>
          <w:szCs w:val="24"/>
          <w:rtl w:val="0"/>
        </w:rPr>
        <w:t xml:space="preserve">, 6ta Ed</w:t>
      </w:r>
      <w:r w:rsidDel="00000000" w:rsidR="00000000" w:rsidRPr="00000000">
        <w:rPr>
          <w:sz w:val="24"/>
          <w:szCs w:val="24"/>
          <w:rtl w:val="0"/>
        </w:rPr>
        <w:t xml:space="preserve">., México</w:t>
      </w:r>
      <w:r w:rsidDel="00000000" w:rsidR="00000000" w:rsidRPr="00000000">
        <w:rPr>
          <w:sz w:val="24"/>
          <w:szCs w:val="24"/>
          <w:rtl w:val="0"/>
        </w:rPr>
        <w:t xml:space="preserve">: McGraw-Hill.</w:t>
      </w:r>
    </w:p>
    <w:p w:rsidR="00000000" w:rsidDel="00000000" w:rsidP="00000000" w:rsidRDefault="00000000" w:rsidRPr="00000000" w14:paraId="000000D7">
      <w:pPr>
        <w:numPr>
          <w:ilvl w:val="0"/>
          <w:numId w:val="3"/>
        </w:numPr>
        <w:spacing w:line="360" w:lineRule="auto"/>
        <w:ind w:left="720" w:hanging="360"/>
        <w:rPr>
          <w:sz w:val="24"/>
          <w:szCs w:val="24"/>
          <w:u w:val="none"/>
        </w:rPr>
      </w:pPr>
      <w:r w:rsidDel="00000000" w:rsidR="00000000" w:rsidRPr="00000000">
        <w:rPr>
          <w:sz w:val="24"/>
          <w:szCs w:val="24"/>
          <w:rtl w:val="0"/>
        </w:rPr>
        <w:t xml:space="preserve">Skoo, A. D., West, D. M., Holler F. J., Crouch, S. R. (2005). </w:t>
      </w:r>
      <w:r w:rsidDel="00000000" w:rsidR="00000000" w:rsidRPr="00000000">
        <w:rPr>
          <w:i w:val="1"/>
          <w:sz w:val="24"/>
          <w:szCs w:val="24"/>
          <w:rtl w:val="0"/>
        </w:rPr>
        <w:t xml:space="preserve">Química Analítica</w:t>
      </w:r>
      <w:r w:rsidDel="00000000" w:rsidR="00000000" w:rsidRPr="00000000">
        <w:rPr>
          <w:sz w:val="24"/>
          <w:szCs w:val="24"/>
          <w:rtl w:val="0"/>
        </w:rPr>
        <w:t xml:space="preserve">, 7ma Ed., México: McGraw-Hill.</w:t>
      </w:r>
    </w:p>
    <w:p w:rsidR="00000000" w:rsidDel="00000000" w:rsidP="00000000" w:rsidRDefault="00000000" w:rsidRPr="00000000" w14:paraId="000000D8">
      <w:pPr>
        <w:rPr>
          <w:sz w:val="24"/>
          <w:szCs w:val="24"/>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ind w:left="0" w:right="-40.8661417322827" w:firstLine="0"/>
      <w:jc w:val="both"/>
      <w:rPr>
        <w:i w:val="1"/>
        <w:sz w:val="18"/>
        <w:szCs w:val="18"/>
      </w:rPr>
    </w:pPr>
    <w:r w:rsidDel="00000000" w:rsidR="00000000" w:rsidRPr="00000000">
      <w:rPr>
        <w:i w:val="1"/>
        <w:sz w:val="18"/>
        <w:szCs w:val="18"/>
        <w:rtl w:val="0"/>
      </w:rPr>
      <w:t xml:space="preserve">This activity is designed to be used in the </w:t>
    </w:r>
    <w:hyperlink r:id="rId1">
      <w:r w:rsidDel="00000000" w:rsidR="00000000" w:rsidRPr="00000000">
        <w:rPr>
          <w:i w:val="1"/>
          <w:color w:val="1155cc"/>
          <w:sz w:val="18"/>
          <w:szCs w:val="18"/>
          <w:u w:val="single"/>
          <w:rtl w:val="0"/>
        </w:rPr>
        <w:t xml:space="preserve">Acid-Base Titration II laboratory</w:t>
      </w:r>
    </w:hyperlink>
    <w:r w:rsidDel="00000000" w:rsidR="00000000" w:rsidRPr="00000000">
      <w:rPr>
        <w:i w:val="1"/>
        <w:sz w:val="18"/>
        <w:szCs w:val="18"/>
        <w:rtl w:val="0"/>
      </w:rPr>
      <w:t xml:space="preserve">. More activities are available at </w:t>
    </w:r>
    <w:hyperlink r:id="rId2">
      <w:r w:rsidDel="00000000" w:rsidR="00000000" w:rsidRPr="00000000">
        <w:rPr>
          <w:i w:val="1"/>
          <w:color w:val="1155cc"/>
          <w:sz w:val="18"/>
          <w:szCs w:val="18"/>
          <w:u w:val="single"/>
          <w:rtl w:val="0"/>
        </w:rPr>
        <w:t xml:space="preserve">https://labsland.com/es</w:t>
      </w:r>
    </w:hyperlink>
    <w:r w:rsidDel="00000000" w:rsidR="00000000" w:rsidRPr="00000000">
      <w:rPr>
        <w:i w:val="1"/>
        <w:sz w:val="18"/>
        <w:szCs w:val="18"/>
        <w:rtl w:val="0"/>
      </w:rPr>
      <w:t xml:space="preserve">. If you are a teacher and want to practice with real equipment for your classes easily and online, visit us! </w:t>
    </w:r>
    <w:r w:rsidDel="00000000" w:rsidR="00000000" w:rsidRPr="00000000">
      <w:drawing>
        <wp:anchor allowOverlap="1" behindDoc="0" distB="0" distT="0" distL="114300" distR="114300" hidden="0" layoutInCell="1" locked="0" relativeHeight="0" simplePos="0">
          <wp:simplePos x="0" y="0"/>
          <wp:positionH relativeFrom="column">
            <wp:posOffset>5000625</wp:posOffset>
          </wp:positionH>
          <wp:positionV relativeFrom="paragraph">
            <wp:posOffset>-28574</wp:posOffset>
          </wp:positionV>
          <wp:extent cx="797201" cy="476250"/>
          <wp:effectExtent b="0" l="0" r="0" t="0"/>
          <wp:wrapSquare wrapText="bothSides" distB="0" distT="0" distL="114300" distR="114300"/>
          <wp:docPr descr="LabsLand - Página principal" id="5" name="image1.png"/>
          <a:graphic>
            <a:graphicData uri="http://schemas.openxmlformats.org/drawingml/2006/picture">
              <pic:pic>
                <pic:nvPicPr>
                  <pic:cNvPr descr="LabsLand - Página principal" id="0" name="image1.png"/>
                  <pic:cNvPicPr preferRelativeResize="0"/>
                </pic:nvPicPr>
                <pic:blipFill>
                  <a:blip r:embed="rId3"/>
                  <a:srcRect b="0" l="0" r="0" t="0"/>
                  <a:stretch>
                    <a:fillRect/>
                  </a:stretch>
                </pic:blipFill>
                <pic:spPr>
                  <a:xfrm>
                    <a:off x="0" y="0"/>
                    <a:ext cx="797201" cy="4762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-47624</wp:posOffset>
          </wp:positionV>
          <wp:extent cx="396459" cy="511743"/>
          <wp:effectExtent b="0" l="0" r="0" t="0"/>
          <wp:wrapSquare wrapText="bothSides" distB="114300" distT="114300" distL="114300" distR="114300"/>
          <wp:docPr descr="Bibliotecología UNED - Bibliotecología en Costa Rica" id="11" name="image5.png"/>
          <a:graphic>
            <a:graphicData uri="http://schemas.openxmlformats.org/drawingml/2006/picture">
              <pic:pic>
                <pic:nvPicPr>
                  <pic:cNvPr descr="Bibliotecología UNED - Bibliotecología en Costa Rica" id="0" name="image5.png"/>
                  <pic:cNvPicPr preferRelativeResize="0"/>
                </pic:nvPicPr>
                <pic:blipFill>
                  <a:blip r:embed="rId4"/>
                  <a:srcRect b="0" l="0" r="0" t="0"/>
                  <a:stretch>
                    <a:fillRect/>
                  </a:stretch>
                </pic:blipFill>
                <pic:spPr>
                  <a:xfrm>
                    <a:off x="0" y="0"/>
                    <a:ext cx="396459" cy="51174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7.png"/><Relationship Id="rId13" Type="http://schemas.openxmlformats.org/officeDocument/2006/relationships/image" Target="media/image13.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9.png"/><Relationship Id="rId14" Type="http://schemas.openxmlformats.org/officeDocument/2006/relationships/image" Target="media/image10.png"/><Relationship Id="rId17" Type="http://schemas.openxmlformats.org/officeDocument/2006/relationships/image" Target="media/image6.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hyperlink" Target="http://www.vaxasoftware.com/doc_edu/qui/indic.pdf" TargetMode="External"/><Relationship Id="rId6" Type="http://schemas.openxmlformats.org/officeDocument/2006/relationships/image" Target="media/image4.png"/><Relationship Id="rId18"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labsland.com/en/labs/abtitration" TargetMode="External"/><Relationship Id="rId2" Type="http://schemas.openxmlformats.org/officeDocument/2006/relationships/hyperlink" Target="https://labsland.com/es" TargetMode="External"/><Relationship Id="rId3"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